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0F8" w:rsidRPr="003D7B1C" w:rsidRDefault="008A30F8" w:rsidP="008D7DCB">
      <w:pPr>
        <w:spacing w:before="100" w:beforeAutospacing="1" w:after="100" w:afterAutospacing="1" w:line="240" w:lineRule="auto"/>
        <w:outlineLvl w:val="0"/>
        <w:rPr>
          <w:rFonts w:ascii="Times New Roman" w:eastAsia="Times New Roman" w:hAnsi="Times New Roman" w:cs="Times New Roman"/>
          <w:b/>
          <w:bCs/>
          <w:kern w:val="36"/>
          <w:szCs w:val="20"/>
          <w:lang w:val="el-GR"/>
        </w:rPr>
      </w:pPr>
      <w:r w:rsidRPr="003D7B1C">
        <w:rPr>
          <w:rFonts w:ascii="Times New Roman" w:eastAsia="Times New Roman" w:hAnsi="Times New Roman" w:cs="Times New Roman"/>
          <w:b/>
          <w:bCs/>
          <w:kern w:val="36"/>
          <w:szCs w:val="20"/>
          <w:lang w:val="el-GR"/>
        </w:rPr>
        <w:t>ΧΛΛ (Χρόνια Λεμφοκυτταρική Λευχαιμία)</w:t>
      </w:r>
    </w:p>
    <w:p w:rsidR="008D7DCB" w:rsidRPr="008D7DCB" w:rsidRDefault="008D7DCB" w:rsidP="008D7DCB">
      <w:pPr>
        <w:spacing w:before="100" w:beforeAutospacing="1" w:after="100" w:afterAutospacing="1" w:line="240" w:lineRule="auto"/>
        <w:outlineLvl w:val="0"/>
        <w:rPr>
          <w:rFonts w:ascii="Times New Roman" w:eastAsia="Times New Roman" w:hAnsi="Times New Roman" w:cs="Times New Roman"/>
          <w:b/>
          <w:bCs/>
          <w:kern w:val="36"/>
          <w:szCs w:val="20"/>
          <w:lang w:val="el-GR"/>
        </w:rPr>
      </w:pPr>
      <w:r w:rsidRPr="008D7DCB">
        <w:rPr>
          <w:rFonts w:ascii="Times New Roman" w:eastAsia="Times New Roman" w:hAnsi="Times New Roman" w:cs="Times New Roman"/>
          <w:b/>
          <w:bCs/>
          <w:kern w:val="36"/>
          <w:szCs w:val="20"/>
          <w:lang w:val="el-GR"/>
        </w:rPr>
        <w:t>Λευχαιμία και λέμφωμα</w:t>
      </w:r>
    </w:p>
    <w:p w:rsidR="008D7DCB" w:rsidRPr="008D7DCB" w:rsidRDefault="008D7DCB" w:rsidP="008D7DCB">
      <w:pPr>
        <w:spacing w:before="100" w:beforeAutospacing="1" w:after="100" w:afterAutospacing="1" w:line="240" w:lineRule="auto"/>
        <w:rPr>
          <w:rFonts w:ascii="Times New Roman" w:eastAsia="Times New Roman" w:hAnsi="Times New Roman" w:cs="Times New Roman"/>
          <w:sz w:val="20"/>
          <w:szCs w:val="20"/>
          <w:lang w:val="el-GR"/>
        </w:rPr>
      </w:pPr>
      <w:r w:rsidRPr="008D7DCB">
        <w:rPr>
          <w:rFonts w:ascii="Times New Roman" w:eastAsia="Times New Roman" w:hAnsi="Times New Roman" w:cs="Times New Roman"/>
          <w:sz w:val="20"/>
          <w:szCs w:val="20"/>
          <w:lang w:val="el-GR"/>
        </w:rPr>
        <w:t>Τα κακοήθη αιματολογικά νοσήματα στο σύνολό τους συνιστούν την τέταρτη, σε συχνότητα, ομάδα κακοήθων νόσων</w:t>
      </w:r>
      <w:r w:rsidRPr="008D7DCB">
        <w:rPr>
          <w:rFonts w:ascii="Times New Roman" w:eastAsia="Times New Roman" w:hAnsi="Times New Roman" w:cs="Times New Roman"/>
          <w:sz w:val="20"/>
          <w:szCs w:val="20"/>
          <w:vertAlign w:val="superscript"/>
          <w:lang w:val="el-GR"/>
        </w:rPr>
        <w:t>1</w:t>
      </w:r>
      <w:r w:rsidRPr="008D7DCB">
        <w:rPr>
          <w:rFonts w:ascii="Times New Roman" w:eastAsia="Times New Roman" w:hAnsi="Times New Roman" w:cs="Times New Roman"/>
          <w:sz w:val="20"/>
          <w:szCs w:val="20"/>
          <w:lang w:val="el-GR"/>
        </w:rPr>
        <w:t>. Σε αντίθεση με το μεγαλύτερο μέρος των συμπαγών όγκων, πολλές μορφές αιματολογικών νεοπλασιών είναι ιδιαίτερα συχνές στην παιδική ηλικία και μεταξύ των νεαρών ενηλίκων. Για ορισμένα αιματολογικά νοσήματα, όπως τα μη-</w:t>
      </w:r>
      <w:r w:rsidRPr="008D7DCB">
        <w:rPr>
          <w:rFonts w:ascii="Times New Roman" w:eastAsia="Times New Roman" w:hAnsi="Times New Roman" w:cs="Times New Roman"/>
          <w:sz w:val="20"/>
          <w:szCs w:val="20"/>
        </w:rPr>
        <w:t>Hodgkin</w:t>
      </w:r>
      <w:r w:rsidRPr="008D7DCB">
        <w:rPr>
          <w:rFonts w:ascii="Times New Roman" w:eastAsia="Times New Roman" w:hAnsi="Times New Roman" w:cs="Times New Roman"/>
          <w:sz w:val="20"/>
          <w:szCs w:val="20"/>
          <w:lang w:val="el-GR"/>
        </w:rPr>
        <w:t xml:space="preserve"> λεμφώματα, φαίνεται ότι τα τελευταία έτη, αυξάνει η επίπτωσή τους στον γενικό πληθυσμό</w:t>
      </w:r>
      <w:r w:rsidRPr="008D7DCB">
        <w:rPr>
          <w:rFonts w:ascii="Times New Roman" w:eastAsia="Times New Roman" w:hAnsi="Times New Roman" w:cs="Times New Roman"/>
          <w:sz w:val="20"/>
          <w:szCs w:val="20"/>
          <w:vertAlign w:val="superscript"/>
          <w:lang w:val="el-GR"/>
        </w:rPr>
        <w:t>1</w:t>
      </w:r>
      <w:r w:rsidRPr="008D7DCB">
        <w:rPr>
          <w:rFonts w:ascii="Times New Roman" w:eastAsia="Times New Roman" w:hAnsi="Times New Roman" w:cs="Times New Roman"/>
          <w:sz w:val="20"/>
          <w:szCs w:val="20"/>
          <w:lang w:val="el-GR"/>
        </w:rPr>
        <w:t>. Πέραν όμως της συχνότητας εμφάνισης των νοσημάτων αυτών, μεγάλη σημασία έχει η τεραστία πρόοδος που έχει επέλθει τα τελευταία χρόνια στην κατανόηση της παθογένειας, της διάγνωσης και της θεραπείας</w:t>
      </w:r>
      <w:r w:rsidRPr="008D7DCB">
        <w:rPr>
          <w:rFonts w:ascii="Times New Roman" w:eastAsia="Times New Roman" w:hAnsi="Times New Roman" w:cs="Times New Roman"/>
          <w:sz w:val="20"/>
          <w:szCs w:val="20"/>
          <w:vertAlign w:val="superscript"/>
          <w:lang w:val="el-GR"/>
        </w:rPr>
        <w:t>1</w:t>
      </w:r>
      <w:r w:rsidRPr="008D7DCB">
        <w:rPr>
          <w:rFonts w:ascii="Times New Roman" w:eastAsia="Times New Roman" w:hAnsi="Times New Roman" w:cs="Times New Roman"/>
          <w:sz w:val="20"/>
          <w:szCs w:val="20"/>
          <w:lang w:val="el-GR"/>
        </w:rPr>
        <w:t>.</w:t>
      </w:r>
    </w:p>
    <w:p w:rsidR="008D7DCB" w:rsidRPr="008D7DCB" w:rsidRDefault="008D7DCB" w:rsidP="008D7DCB">
      <w:pPr>
        <w:spacing w:before="100" w:beforeAutospacing="1" w:after="100" w:afterAutospacing="1" w:line="240" w:lineRule="auto"/>
        <w:outlineLvl w:val="1"/>
        <w:rPr>
          <w:rFonts w:ascii="Times New Roman" w:eastAsia="Times New Roman" w:hAnsi="Times New Roman" w:cs="Times New Roman"/>
          <w:b/>
          <w:bCs/>
          <w:szCs w:val="20"/>
          <w:lang w:val="el-GR"/>
        </w:rPr>
      </w:pPr>
      <w:r w:rsidRPr="008D7DCB">
        <w:rPr>
          <w:rFonts w:ascii="Times New Roman" w:eastAsia="Times New Roman" w:hAnsi="Times New Roman" w:cs="Times New Roman"/>
          <w:b/>
          <w:bCs/>
          <w:szCs w:val="20"/>
          <w:lang w:val="el-GR"/>
        </w:rPr>
        <w:t>ΧΛΛ - Χρόνια Λεμφοκυτταρική Λευχαιμία</w:t>
      </w:r>
    </w:p>
    <w:p w:rsidR="008D7DCB" w:rsidRPr="008D7DCB" w:rsidRDefault="008D7DCB" w:rsidP="008D7DCB">
      <w:pPr>
        <w:spacing w:before="100" w:beforeAutospacing="1" w:after="100" w:afterAutospacing="1" w:line="240" w:lineRule="auto"/>
        <w:rPr>
          <w:rFonts w:ascii="Times New Roman" w:eastAsia="Times New Roman" w:hAnsi="Times New Roman" w:cs="Times New Roman"/>
          <w:sz w:val="20"/>
          <w:szCs w:val="20"/>
          <w:lang w:val="el-GR"/>
        </w:rPr>
      </w:pPr>
      <w:r w:rsidRPr="008D7DCB">
        <w:rPr>
          <w:rFonts w:ascii="Times New Roman" w:eastAsia="Times New Roman" w:hAnsi="Times New Roman" w:cs="Times New Roman"/>
          <w:sz w:val="20"/>
          <w:szCs w:val="20"/>
          <w:lang w:val="el-GR"/>
        </w:rPr>
        <w:t>Είναι η πιο συχνή λευχαιμία στον δυτικό κόσμο και είναι τυπική στους ηλικιωμένους. Το 80% των ασθενών είναι &gt;60 ετών, με μέσο όρο ηλικίας προσβολής τα 69,6 έτη</w:t>
      </w:r>
      <w:r w:rsidRPr="008D7DCB">
        <w:rPr>
          <w:rFonts w:ascii="Times New Roman" w:eastAsia="Times New Roman" w:hAnsi="Times New Roman" w:cs="Times New Roman"/>
          <w:sz w:val="20"/>
          <w:szCs w:val="20"/>
          <w:vertAlign w:val="superscript"/>
          <w:lang w:val="el-GR"/>
        </w:rPr>
        <w:t>2</w:t>
      </w:r>
      <w:r w:rsidRPr="008D7DCB">
        <w:rPr>
          <w:rFonts w:ascii="Times New Roman" w:eastAsia="Times New Roman" w:hAnsi="Times New Roman" w:cs="Times New Roman"/>
          <w:sz w:val="20"/>
          <w:szCs w:val="20"/>
          <w:lang w:val="el-GR"/>
        </w:rPr>
        <w:t xml:space="preserve">. Το οικογενειακό ιστορικό ΧΛΛ ή άλλης </w:t>
      </w:r>
      <w:proofErr w:type="spellStart"/>
      <w:r w:rsidRPr="008D7DCB">
        <w:rPr>
          <w:rFonts w:ascii="Times New Roman" w:eastAsia="Times New Roman" w:hAnsi="Times New Roman" w:cs="Times New Roman"/>
          <w:sz w:val="20"/>
          <w:szCs w:val="20"/>
          <w:lang w:val="el-GR"/>
        </w:rPr>
        <w:t>λεμφοϋπερπλαστικής</w:t>
      </w:r>
      <w:proofErr w:type="spellEnd"/>
      <w:r w:rsidRPr="008D7DCB">
        <w:rPr>
          <w:rFonts w:ascii="Times New Roman" w:eastAsia="Times New Roman" w:hAnsi="Times New Roman" w:cs="Times New Roman"/>
          <w:sz w:val="20"/>
          <w:szCs w:val="20"/>
          <w:lang w:val="el-GR"/>
        </w:rPr>
        <w:t xml:space="preserve"> νόσου αποτελεί ισχυρό παράγοντα κινδύνου και ισχύει στο 10% των περιπτώσεων</w:t>
      </w:r>
      <w:r w:rsidRPr="008D7DCB">
        <w:rPr>
          <w:rFonts w:ascii="Times New Roman" w:eastAsia="Times New Roman" w:hAnsi="Times New Roman" w:cs="Times New Roman"/>
          <w:sz w:val="20"/>
          <w:szCs w:val="20"/>
          <w:vertAlign w:val="superscript"/>
          <w:lang w:val="el-GR"/>
        </w:rPr>
        <w:t>3</w:t>
      </w:r>
      <w:r w:rsidRPr="008D7DCB">
        <w:rPr>
          <w:rFonts w:ascii="Times New Roman" w:eastAsia="Times New Roman" w:hAnsi="Times New Roman" w:cs="Times New Roman"/>
          <w:sz w:val="20"/>
          <w:szCs w:val="20"/>
          <w:lang w:val="el-GR"/>
        </w:rPr>
        <w:t>. Είναι ένα νόσημα</w:t>
      </w:r>
      <w:r w:rsidR="00C8251F">
        <w:rPr>
          <w:rFonts w:ascii="Times New Roman" w:eastAsia="Times New Roman" w:hAnsi="Times New Roman" w:cs="Times New Roman"/>
          <w:sz w:val="20"/>
          <w:szCs w:val="20"/>
          <w:lang w:val="el-GR"/>
        </w:rPr>
        <w:t xml:space="preserve"> που προσβάλλει πιο συχνά τους ά</w:t>
      </w:r>
      <w:r w:rsidRPr="008D7DCB">
        <w:rPr>
          <w:rFonts w:ascii="Times New Roman" w:eastAsia="Times New Roman" w:hAnsi="Times New Roman" w:cs="Times New Roman"/>
          <w:sz w:val="20"/>
          <w:szCs w:val="20"/>
          <w:lang w:val="el-GR"/>
        </w:rPr>
        <w:t>νδρες</w:t>
      </w:r>
      <w:r w:rsidRPr="008D7DCB">
        <w:rPr>
          <w:rFonts w:ascii="Times New Roman" w:eastAsia="Times New Roman" w:hAnsi="Times New Roman" w:cs="Times New Roman"/>
          <w:sz w:val="20"/>
          <w:szCs w:val="20"/>
          <w:vertAlign w:val="superscript"/>
          <w:lang w:val="el-GR"/>
        </w:rPr>
        <w:t>1</w:t>
      </w:r>
      <w:r w:rsidRPr="008D7DCB">
        <w:rPr>
          <w:rFonts w:ascii="Times New Roman" w:eastAsia="Times New Roman" w:hAnsi="Times New Roman" w:cs="Times New Roman"/>
          <w:sz w:val="20"/>
          <w:szCs w:val="20"/>
          <w:lang w:val="el-GR"/>
        </w:rPr>
        <w:t>.</w:t>
      </w:r>
    </w:p>
    <w:p w:rsidR="008D7DCB" w:rsidRPr="008D7DCB" w:rsidRDefault="008D7DCB" w:rsidP="008D7DCB">
      <w:pPr>
        <w:spacing w:before="100" w:beforeAutospacing="1" w:after="100" w:afterAutospacing="1" w:line="240" w:lineRule="auto"/>
        <w:rPr>
          <w:rFonts w:ascii="Times New Roman" w:eastAsia="Times New Roman" w:hAnsi="Times New Roman" w:cs="Times New Roman"/>
          <w:sz w:val="20"/>
          <w:szCs w:val="20"/>
          <w:lang w:val="el-GR"/>
        </w:rPr>
      </w:pPr>
      <w:r w:rsidRPr="008D7DCB">
        <w:rPr>
          <w:rFonts w:ascii="Times New Roman" w:eastAsia="Times New Roman" w:hAnsi="Times New Roman" w:cs="Times New Roman"/>
          <w:sz w:val="20"/>
          <w:szCs w:val="20"/>
          <w:lang w:val="el-GR"/>
        </w:rPr>
        <w:t>Η συχνότητα υπολογίζεται σε 2-3 περιπτώσεις/100,000 στον γενικό πληθυσμό, αλλά αυξάνει σε 50 περιπτώσεις/100,000 σε άτομα &gt;65 ετών</w:t>
      </w:r>
      <w:r w:rsidRPr="008D7DCB">
        <w:rPr>
          <w:rFonts w:ascii="Times New Roman" w:eastAsia="Times New Roman" w:hAnsi="Times New Roman" w:cs="Times New Roman"/>
          <w:sz w:val="20"/>
          <w:szCs w:val="20"/>
          <w:vertAlign w:val="superscript"/>
          <w:lang w:val="el-GR"/>
        </w:rPr>
        <w:t>1</w:t>
      </w:r>
      <w:r w:rsidRPr="008D7DCB">
        <w:rPr>
          <w:rFonts w:ascii="Times New Roman" w:eastAsia="Times New Roman" w:hAnsi="Times New Roman" w:cs="Times New Roman"/>
          <w:sz w:val="20"/>
          <w:szCs w:val="20"/>
          <w:lang w:val="el-GR"/>
        </w:rPr>
        <w:t>. Η ΧΛΛ αντιπροσωπεύει το 30% όλων των περιπτώσεων λευχαιμίας</w:t>
      </w:r>
      <w:r w:rsidRPr="008D7DCB">
        <w:rPr>
          <w:rFonts w:ascii="Times New Roman" w:eastAsia="Times New Roman" w:hAnsi="Times New Roman" w:cs="Times New Roman"/>
          <w:sz w:val="20"/>
          <w:szCs w:val="20"/>
          <w:vertAlign w:val="superscript"/>
          <w:lang w:val="el-GR"/>
        </w:rPr>
        <w:t>1</w:t>
      </w:r>
      <w:r w:rsidRPr="008D7DCB">
        <w:rPr>
          <w:rFonts w:ascii="Times New Roman" w:eastAsia="Times New Roman" w:hAnsi="Times New Roman" w:cs="Times New Roman"/>
          <w:sz w:val="20"/>
          <w:szCs w:val="20"/>
          <w:lang w:val="el-GR"/>
        </w:rPr>
        <w:t xml:space="preserve">. Πρόκειται για μία </w:t>
      </w:r>
      <w:proofErr w:type="spellStart"/>
      <w:r w:rsidRPr="008D7DCB">
        <w:rPr>
          <w:rFonts w:ascii="Times New Roman" w:eastAsia="Times New Roman" w:hAnsi="Times New Roman" w:cs="Times New Roman"/>
          <w:sz w:val="20"/>
          <w:szCs w:val="20"/>
          <w:lang w:val="el-GR"/>
        </w:rPr>
        <w:t>λεμφοϋπερπλαστική</w:t>
      </w:r>
      <w:proofErr w:type="spellEnd"/>
      <w:r w:rsidRPr="008D7DCB">
        <w:rPr>
          <w:rFonts w:ascii="Times New Roman" w:eastAsia="Times New Roman" w:hAnsi="Times New Roman" w:cs="Times New Roman"/>
          <w:sz w:val="20"/>
          <w:szCs w:val="20"/>
          <w:lang w:val="el-GR"/>
        </w:rPr>
        <w:t xml:space="preserve"> διαταραχή, η οποία προσβάλλει τα </w:t>
      </w:r>
      <w:r w:rsidRPr="008D7DCB">
        <w:rPr>
          <w:rFonts w:ascii="Times New Roman" w:eastAsia="Times New Roman" w:hAnsi="Times New Roman" w:cs="Times New Roman"/>
          <w:sz w:val="20"/>
          <w:szCs w:val="20"/>
        </w:rPr>
        <w:t>CD</w:t>
      </w:r>
      <w:r w:rsidRPr="008D7DCB">
        <w:rPr>
          <w:rFonts w:ascii="Times New Roman" w:eastAsia="Times New Roman" w:hAnsi="Times New Roman" w:cs="Times New Roman"/>
          <w:sz w:val="20"/>
          <w:szCs w:val="20"/>
          <w:lang w:val="el-GR"/>
        </w:rPr>
        <w:t>5-θετικά Β λεμφοκύτταρα. Στην κατάταξη του Π.Ο.Υ. υπάγεται στα νεοπλάσματα από ώριμα Β κύτταρα</w:t>
      </w:r>
      <w:r w:rsidRPr="008D7DCB">
        <w:rPr>
          <w:rFonts w:ascii="Times New Roman" w:eastAsia="Times New Roman" w:hAnsi="Times New Roman" w:cs="Times New Roman"/>
          <w:sz w:val="20"/>
          <w:szCs w:val="20"/>
          <w:vertAlign w:val="superscript"/>
          <w:lang w:val="el-GR"/>
        </w:rPr>
        <w:t>4</w:t>
      </w:r>
      <w:r w:rsidRPr="008D7DCB">
        <w:rPr>
          <w:rFonts w:ascii="Times New Roman" w:eastAsia="Times New Roman" w:hAnsi="Times New Roman" w:cs="Times New Roman"/>
          <w:sz w:val="20"/>
          <w:szCs w:val="20"/>
          <w:lang w:val="el-GR"/>
        </w:rPr>
        <w:t>. Η νόσος έχει ποικίλη πορεία. Μερικοί ασθενείς μπορεί να διατηρηθούν σταθεροί για πολλά έτη, ενώ άλλοι μπορεί να εμφανίσουν γρήγορη ανάπτυξη και γι’ αυτό έχουν χαμηλή επιβίωση βραχυπρόθεσμα.</w:t>
      </w:r>
    </w:p>
    <w:p w:rsidR="008D7DCB" w:rsidRPr="008D7DCB" w:rsidRDefault="008D7DCB" w:rsidP="008D7DCB">
      <w:pPr>
        <w:spacing w:before="100" w:beforeAutospacing="1" w:after="100" w:afterAutospacing="1" w:line="240" w:lineRule="auto"/>
        <w:rPr>
          <w:rFonts w:ascii="Times New Roman" w:eastAsia="Times New Roman" w:hAnsi="Times New Roman" w:cs="Times New Roman"/>
          <w:szCs w:val="20"/>
          <w:lang w:val="el-GR"/>
        </w:rPr>
      </w:pPr>
      <w:r w:rsidRPr="008D7DCB">
        <w:rPr>
          <w:rFonts w:ascii="Times New Roman" w:eastAsia="Times New Roman" w:hAnsi="Times New Roman" w:cs="Times New Roman"/>
          <w:b/>
          <w:bCs/>
          <w:szCs w:val="20"/>
          <w:lang w:val="el-GR"/>
        </w:rPr>
        <w:t>Επιδημιολογία</w:t>
      </w:r>
    </w:p>
    <w:p w:rsidR="008D7DCB" w:rsidRPr="008D7DCB" w:rsidRDefault="008D7DCB" w:rsidP="008D7DCB">
      <w:pPr>
        <w:spacing w:before="100" w:beforeAutospacing="1" w:after="100" w:afterAutospacing="1" w:line="240" w:lineRule="auto"/>
        <w:rPr>
          <w:rFonts w:ascii="Times New Roman" w:eastAsia="Times New Roman" w:hAnsi="Times New Roman" w:cs="Times New Roman"/>
          <w:sz w:val="20"/>
          <w:szCs w:val="20"/>
          <w:lang w:val="el-GR"/>
        </w:rPr>
      </w:pPr>
      <w:r w:rsidRPr="008D7DCB">
        <w:rPr>
          <w:rFonts w:ascii="Times New Roman" w:eastAsia="Times New Roman" w:hAnsi="Times New Roman" w:cs="Times New Roman"/>
          <w:sz w:val="20"/>
          <w:szCs w:val="20"/>
          <w:lang w:val="el-GR"/>
        </w:rPr>
        <w:t>Η Χρόνια Λεμφοκυτταρική Λευχαιμία είναι πιο συχνή στους άνδρες και έχει επίπτωση ίση με 2 έως 3 περιστατικά σε 100.000 κατοίκους ανά έτος στις δυτικές χώρες. Αντίθετα, είναι σπάνια στην Ιαπωνία και στην ανατολή. Η μέση ηλικία διάγνωσης είναι τα 70 έτη, ενώ η επίπτωση αυξάνεται σε 50 περιπτώσεις/100,000 σε άτομα &gt;65 ετών</w:t>
      </w:r>
      <w:r w:rsidR="00CD588C" w:rsidRPr="00CD588C">
        <w:rPr>
          <w:rFonts w:ascii="Times New Roman" w:eastAsia="Times New Roman" w:hAnsi="Times New Roman" w:cs="Times New Roman"/>
          <w:sz w:val="20"/>
          <w:szCs w:val="20"/>
          <w:lang w:val="el-GR"/>
        </w:rPr>
        <w:t>.</w:t>
      </w:r>
      <w:r w:rsidRPr="008D7DCB">
        <w:rPr>
          <w:rFonts w:ascii="Times New Roman" w:eastAsia="Times New Roman" w:hAnsi="Times New Roman" w:cs="Times New Roman"/>
          <w:sz w:val="20"/>
          <w:szCs w:val="20"/>
          <w:vertAlign w:val="superscript"/>
          <w:lang w:val="el-GR"/>
        </w:rPr>
        <w:t>1</w:t>
      </w:r>
    </w:p>
    <w:p w:rsidR="008D7DCB" w:rsidRPr="008D7DCB" w:rsidRDefault="008D7DCB" w:rsidP="008D7DCB">
      <w:pPr>
        <w:spacing w:before="100" w:beforeAutospacing="1" w:after="100" w:afterAutospacing="1" w:line="240" w:lineRule="auto"/>
        <w:rPr>
          <w:rFonts w:ascii="Times New Roman" w:eastAsia="Times New Roman" w:hAnsi="Times New Roman" w:cs="Times New Roman"/>
          <w:sz w:val="20"/>
          <w:szCs w:val="20"/>
          <w:lang w:val="el-GR"/>
        </w:rPr>
      </w:pPr>
      <w:r w:rsidRPr="008D7DCB">
        <w:rPr>
          <w:rFonts w:ascii="Times New Roman" w:eastAsia="Times New Roman" w:hAnsi="Times New Roman" w:cs="Times New Roman"/>
          <w:sz w:val="20"/>
          <w:szCs w:val="20"/>
          <w:lang w:val="el-GR"/>
        </w:rPr>
        <w:t xml:space="preserve">Ο </w:t>
      </w:r>
      <w:proofErr w:type="spellStart"/>
      <w:r w:rsidRPr="008D7DCB">
        <w:rPr>
          <w:rFonts w:ascii="Times New Roman" w:eastAsia="Times New Roman" w:hAnsi="Times New Roman" w:cs="Times New Roman"/>
          <w:sz w:val="20"/>
          <w:szCs w:val="20"/>
          <w:lang w:val="el-GR"/>
        </w:rPr>
        <w:t>επιπολασμός</w:t>
      </w:r>
      <w:proofErr w:type="spellEnd"/>
      <w:r w:rsidRPr="008D7DCB">
        <w:rPr>
          <w:rFonts w:ascii="Times New Roman" w:eastAsia="Times New Roman" w:hAnsi="Times New Roman" w:cs="Times New Roman"/>
          <w:sz w:val="20"/>
          <w:szCs w:val="20"/>
          <w:lang w:val="el-GR"/>
        </w:rPr>
        <w:t xml:space="preserve"> της αυξάνεται καθώς το μέσο προσδόκιμο ζωής γενικά αυξάνεται</w:t>
      </w:r>
      <w:r w:rsidR="00C8251F">
        <w:rPr>
          <w:rFonts w:ascii="Times New Roman" w:eastAsia="Times New Roman" w:hAnsi="Times New Roman" w:cs="Times New Roman"/>
          <w:sz w:val="20"/>
          <w:szCs w:val="20"/>
          <w:lang w:val="el-GR"/>
        </w:rPr>
        <w:t>.</w:t>
      </w:r>
    </w:p>
    <w:p w:rsidR="008D7DCB" w:rsidRPr="008D7DCB" w:rsidRDefault="00C8251F" w:rsidP="008D7DCB">
      <w:pPr>
        <w:spacing w:before="100" w:beforeAutospacing="1" w:after="100" w:afterAutospacing="1" w:line="240" w:lineRule="auto"/>
        <w:rPr>
          <w:rFonts w:ascii="Times New Roman" w:eastAsia="Times New Roman" w:hAnsi="Times New Roman" w:cs="Times New Roman"/>
          <w:szCs w:val="20"/>
          <w:lang w:val="el-GR"/>
        </w:rPr>
      </w:pPr>
      <w:r>
        <w:rPr>
          <w:rFonts w:ascii="Times New Roman" w:eastAsia="Times New Roman" w:hAnsi="Times New Roman" w:cs="Times New Roman"/>
          <w:b/>
          <w:bCs/>
          <w:szCs w:val="20"/>
          <w:lang w:val="el-GR"/>
        </w:rPr>
        <w:t>Π</w:t>
      </w:r>
      <w:r w:rsidR="008D7DCB" w:rsidRPr="008D7DCB">
        <w:rPr>
          <w:rFonts w:ascii="Times New Roman" w:eastAsia="Times New Roman" w:hAnsi="Times New Roman" w:cs="Times New Roman"/>
          <w:b/>
          <w:bCs/>
          <w:szCs w:val="20"/>
          <w:lang w:val="el-GR"/>
        </w:rPr>
        <w:t>αράγοντες κινδύνου</w:t>
      </w:r>
    </w:p>
    <w:p w:rsidR="008D7DCB" w:rsidRPr="008D7DCB" w:rsidRDefault="008D7DCB" w:rsidP="008D7DCB">
      <w:pPr>
        <w:spacing w:before="100" w:beforeAutospacing="1" w:after="100" w:afterAutospacing="1" w:line="240" w:lineRule="auto"/>
        <w:rPr>
          <w:rFonts w:ascii="Times New Roman" w:eastAsia="Times New Roman" w:hAnsi="Times New Roman" w:cs="Times New Roman"/>
          <w:sz w:val="20"/>
          <w:szCs w:val="20"/>
          <w:lang w:val="el-GR"/>
        </w:rPr>
      </w:pPr>
      <w:r w:rsidRPr="008D7DCB">
        <w:rPr>
          <w:rFonts w:ascii="Times New Roman" w:eastAsia="Times New Roman" w:hAnsi="Times New Roman" w:cs="Times New Roman"/>
          <w:sz w:val="20"/>
          <w:szCs w:val="20"/>
          <w:lang w:val="el-GR"/>
        </w:rPr>
        <w:t xml:space="preserve">Μέχρι σήμερα έχουν προσδιοριστεί παράγοντες κινδύνου, οι οποίοι μπορούν να τροποποιηθούν ανάλογα με το άτομο, παρόλο που διαφορετικές μελέτες έχουν δείξει ότι γενετικοί ή </w:t>
      </w:r>
      <w:proofErr w:type="spellStart"/>
      <w:r w:rsidRPr="008D7DCB">
        <w:rPr>
          <w:rFonts w:ascii="Times New Roman" w:eastAsia="Times New Roman" w:hAnsi="Times New Roman" w:cs="Times New Roman"/>
          <w:sz w:val="20"/>
          <w:szCs w:val="20"/>
          <w:lang w:val="el-GR"/>
        </w:rPr>
        <w:t>οικογενείς</w:t>
      </w:r>
      <w:proofErr w:type="spellEnd"/>
      <w:r w:rsidRPr="008D7DCB">
        <w:rPr>
          <w:rFonts w:ascii="Times New Roman" w:eastAsia="Times New Roman" w:hAnsi="Times New Roman" w:cs="Times New Roman"/>
          <w:sz w:val="20"/>
          <w:szCs w:val="20"/>
          <w:lang w:val="el-GR"/>
        </w:rPr>
        <w:t xml:space="preserve"> παράγοντες μπορεί να προδιαθέσουν στην ανάπτυξη της ΧΛΛ.</w:t>
      </w:r>
    </w:p>
    <w:p w:rsidR="00260409" w:rsidRPr="00CD588C" w:rsidRDefault="008D7DCB" w:rsidP="00CD588C">
      <w:pPr>
        <w:spacing w:before="100" w:beforeAutospacing="1" w:after="100" w:afterAutospacing="1" w:line="240" w:lineRule="auto"/>
        <w:rPr>
          <w:rFonts w:ascii="Times New Roman" w:eastAsia="Times New Roman" w:hAnsi="Times New Roman" w:cs="Times New Roman"/>
          <w:sz w:val="20"/>
          <w:szCs w:val="20"/>
          <w:lang w:val="el-GR"/>
        </w:rPr>
      </w:pPr>
      <w:r w:rsidRPr="008D7DCB">
        <w:rPr>
          <w:rFonts w:ascii="Times New Roman" w:eastAsia="Times New Roman" w:hAnsi="Times New Roman" w:cs="Times New Roman"/>
          <w:sz w:val="20"/>
          <w:szCs w:val="20"/>
          <w:lang w:val="el-GR"/>
        </w:rPr>
        <w:t>Στους συγγενείς πρώτου βαθμού των προσβεβλημένων ασθενών, η επίπτωση είναι μεγαλύτερη σε σχέση με τον γενικό πληθυσμό, πράγμα το οποίο υποδηλώνει ότι η παρουσία γενετικής προδιάθεσης αποτελεί μη τροποποιήσιμο παράγοντα κινδύνου. Άλλοι παράγοντες είναι η ηλικία, το φύλο και η εθνικότητα</w:t>
      </w:r>
      <w:r w:rsidRPr="008D7DCB">
        <w:rPr>
          <w:rFonts w:ascii="Times New Roman" w:eastAsia="Times New Roman" w:hAnsi="Times New Roman" w:cs="Times New Roman"/>
          <w:sz w:val="20"/>
          <w:szCs w:val="20"/>
          <w:vertAlign w:val="superscript"/>
          <w:lang w:val="el-GR"/>
        </w:rPr>
        <w:t>1,3</w:t>
      </w:r>
      <w:r w:rsidRPr="008D7DCB">
        <w:rPr>
          <w:rFonts w:ascii="Times New Roman" w:eastAsia="Times New Roman" w:hAnsi="Times New Roman" w:cs="Times New Roman"/>
          <w:sz w:val="20"/>
          <w:szCs w:val="20"/>
          <w:lang w:val="el-GR"/>
        </w:rPr>
        <w:t>.</w:t>
      </w:r>
    </w:p>
    <w:p w:rsidR="00260409" w:rsidRPr="003D7B1C" w:rsidRDefault="00260409" w:rsidP="00260409">
      <w:pPr>
        <w:rPr>
          <w:rFonts w:ascii="Times New Roman" w:hAnsi="Times New Roman" w:cs="Times New Roman"/>
          <w:b/>
          <w:szCs w:val="20"/>
          <w:lang w:val="el-GR"/>
        </w:rPr>
      </w:pPr>
      <w:r w:rsidRPr="003D7B1C">
        <w:rPr>
          <w:rFonts w:ascii="Times New Roman" w:hAnsi="Times New Roman" w:cs="Times New Roman"/>
          <w:b/>
          <w:szCs w:val="20"/>
          <w:lang w:val="el-GR"/>
        </w:rPr>
        <w:t>Συμπτωματολογία</w:t>
      </w:r>
    </w:p>
    <w:p w:rsidR="00260409" w:rsidRPr="003D7B1C" w:rsidRDefault="00260409" w:rsidP="00260409">
      <w:pPr>
        <w:rPr>
          <w:rFonts w:ascii="Times New Roman" w:hAnsi="Times New Roman" w:cs="Times New Roman"/>
          <w:sz w:val="20"/>
          <w:szCs w:val="20"/>
          <w:lang w:val="el-GR"/>
        </w:rPr>
      </w:pPr>
      <w:r w:rsidRPr="003D7B1C">
        <w:rPr>
          <w:rFonts w:ascii="Times New Roman" w:hAnsi="Times New Roman" w:cs="Times New Roman"/>
          <w:sz w:val="20"/>
          <w:szCs w:val="20"/>
          <w:lang w:val="el-GR"/>
        </w:rPr>
        <w:t>Το μεγαλύτερο μέρος των ασθενών διαγιγνώσκεται βάσει αιματολογικών εξετάσεων ρουτίνας απουσία συμπτωμάτων.</w:t>
      </w:r>
    </w:p>
    <w:p w:rsidR="00260409" w:rsidRPr="00CD588C" w:rsidRDefault="00260409" w:rsidP="00260409">
      <w:pPr>
        <w:rPr>
          <w:rFonts w:ascii="Times New Roman" w:hAnsi="Times New Roman" w:cs="Times New Roman"/>
          <w:sz w:val="20"/>
          <w:szCs w:val="20"/>
          <w:lang w:val="el-GR"/>
        </w:rPr>
      </w:pPr>
      <w:r w:rsidRPr="003D7B1C">
        <w:rPr>
          <w:rFonts w:ascii="Times New Roman" w:hAnsi="Times New Roman" w:cs="Times New Roman"/>
          <w:sz w:val="20"/>
          <w:szCs w:val="20"/>
          <w:lang w:val="el-GR"/>
        </w:rPr>
        <w:t>Στα ενδιάμεσα στάδια της νόσου το πιο συχνό σύμπτωμα είναι η αδενοπάθεια που προσβάλλει τους λεμφαδένες του τραχήλου, της μασχάλης ή της βουβωνικής χώρας. Οι λεμφαδένες εμφανίζονται ελαστικοί, όχι σκληροί και ανώδυνοι. Συχνά εμφανίζονται σε συνδυασμό με αύξηση του μεγέθους του σπλήνα (σπληνομεγαλία) και του ήπατος (</w:t>
      </w:r>
      <w:proofErr w:type="spellStart"/>
      <w:r w:rsidRPr="003D7B1C">
        <w:rPr>
          <w:rFonts w:ascii="Times New Roman" w:hAnsi="Times New Roman" w:cs="Times New Roman"/>
          <w:sz w:val="20"/>
          <w:szCs w:val="20"/>
          <w:lang w:val="el-GR"/>
        </w:rPr>
        <w:t>ηπατομεγαλία)</w:t>
      </w:r>
      <w:r w:rsidR="00CD588C" w:rsidRPr="00CD588C">
        <w:rPr>
          <w:rFonts w:ascii="Times New Roman" w:hAnsi="Times New Roman" w:cs="Times New Roman"/>
          <w:sz w:val="20"/>
          <w:szCs w:val="20"/>
          <w:lang w:val="el-GR"/>
        </w:rPr>
        <w:t>.</w:t>
      </w:r>
      <w:r w:rsidR="00CD588C">
        <w:rPr>
          <w:rFonts w:ascii="Times New Roman" w:eastAsia="Times New Roman" w:hAnsi="Times New Roman" w:cs="Times New Roman"/>
          <w:sz w:val="20"/>
          <w:szCs w:val="20"/>
          <w:vertAlign w:val="superscript"/>
          <w:lang w:val="el-GR"/>
        </w:rPr>
        <w:t>1</w:t>
      </w:r>
      <w:proofErr w:type="spellEnd"/>
    </w:p>
    <w:p w:rsidR="00260409" w:rsidRPr="003D7B1C" w:rsidRDefault="00260409" w:rsidP="00260409">
      <w:pPr>
        <w:rPr>
          <w:rFonts w:ascii="Times New Roman" w:hAnsi="Times New Roman" w:cs="Times New Roman"/>
          <w:sz w:val="20"/>
          <w:szCs w:val="20"/>
          <w:lang w:val="el-GR"/>
        </w:rPr>
      </w:pPr>
      <w:r w:rsidRPr="003D7B1C">
        <w:rPr>
          <w:rFonts w:ascii="Times New Roman" w:hAnsi="Times New Roman" w:cs="Times New Roman"/>
          <w:sz w:val="20"/>
          <w:szCs w:val="20"/>
          <w:lang w:val="el-GR"/>
        </w:rPr>
        <w:lastRenderedPageBreak/>
        <w:t xml:space="preserve">Κατά την πορεία της νόσου, μπορεί να εμφανιστούν επιπλοκές, οι οποίες είναι κοινές με άλλες λευχαιμίες όπως αναιμία ή/και </w:t>
      </w:r>
      <w:proofErr w:type="spellStart"/>
      <w:r w:rsidRPr="003D7B1C">
        <w:rPr>
          <w:rFonts w:ascii="Times New Roman" w:hAnsi="Times New Roman" w:cs="Times New Roman"/>
          <w:sz w:val="20"/>
          <w:szCs w:val="20"/>
          <w:lang w:val="el-GR"/>
        </w:rPr>
        <w:t>θρομβοπενία</w:t>
      </w:r>
      <w:proofErr w:type="spellEnd"/>
      <w:r w:rsidRPr="003D7B1C">
        <w:rPr>
          <w:rFonts w:ascii="Times New Roman" w:hAnsi="Times New Roman" w:cs="Times New Roman"/>
          <w:sz w:val="20"/>
          <w:szCs w:val="20"/>
          <w:lang w:val="el-GR"/>
        </w:rPr>
        <w:t>, οι οποίες οφείλονται σε διήθηση του μυελού των οστών από Β-ΧΛΛ κύτταρα</w:t>
      </w:r>
      <w:r w:rsidRPr="00CD588C">
        <w:rPr>
          <w:rFonts w:ascii="Times New Roman" w:eastAsia="Times New Roman" w:hAnsi="Times New Roman" w:cs="Times New Roman"/>
          <w:sz w:val="20"/>
          <w:szCs w:val="20"/>
          <w:vertAlign w:val="superscript"/>
          <w:lang w:val="el-GR"/>
        </w:rPr>
        <w:t>1</w:t>
      </w:r>
      <w:r w:rsidRPr="003D7B1C">
        <w:rPr>
          <w:rFonts w:ascii="Times New Roman" w:hAnsi="Times New Roman" w:cs="Times New Roman"/>
          <w:sz w:val="20"/>
          <w:szCs w:val="20"/>
          <w:lang w:val="el-GR"/>
        </w:rPr>
        <w:t>.</w:t>
      </w:r>
    </w:p>
    <w:p w:rsidR="00260409" w:rsidRPr="00CD588C" w:rsidRDefault="00260409" w:rsidP="00260409">
      <w:pPr>
        <w:rPr>
          <w:rFonts w:ascii="Times New Roman" w:hAnsi="Times New Roman" w:cs="Times New Roman"/>
          <w:sz w:val="20"/>
          <w:szCs w:val="20"/>
          <w:lang w:val="el-GR"/>
        </w:rPr>
      </w:pPr>
      <w:r w:rsidRPr="003D7B1C">
        <w:rPr>
          <w:rFonts w:ascii="Times New Roman" w:hAnsi="Times New Roman" w:cs="Times New Roman"/>
          <w:sz w:val="20"/>
          <w:szCs w:val="20"/>
          <w:lang w:val="el-GR"/>
        </w:rPr>
        <w:t xml:space="preserve">Τα </w:t>
      </w:r>
      <w:proofErr w:type="spellStart"/>
      <w:r w:rsidRPr="003D7B1C">
        <w:rPr>
          <w:rFonts w:ascii="Times New Roman" w:hAnsi="Times New Roman" w:cs="Times New Roman"/>
          <w:sz w:val="20"/>
          <w:szCs w:val="20"/>
          <w:lang w:val="el-GR"/>
        </w:rPr>
        <w:t>συνοδά</w:t>
      </w:r>
      <w:proofErr w:type="spellEnd"/>
      <w:r w:rsidRPr="003D7B1C">
        <w:rPr>
          <w:rFonts w:ascii="Times New Roman" w:hAnsi="Times New Roman" w:cs="Times New Roman"/>
          <w:sz w:val="20"/>
          <w:szCs w:val="20"/>
          <w:lang w:val="el-GR"/>
        </w:rPr>
        <w:t xml:space="preserve"> συμπτώματα είναι: πυρετός &gt;38°C χωρίς εμφανές αίτιο, απώλεια βάρους &gt; 10% του σωματικού βάρους, έντονη εφίδρωση, κνησμός, μυϊκοί πόνοι (ανευρίσκονται στη μειοψηφία των περιστατικών κατά τη χρονική στιγμή της διάγνωσης)</w:t>
      </w:r>
      <w:r w:rsidR="00CD588C" w:rsidRPr="00CD588C">
        <w:rPr>
          <w:rFonts w:ascii="Times New Roman" w:hAnsi="Times New Roman" w:cs="Times New Roman"/>
          <w:sz w:val="20"/>
          <w:szCs w:val="20"/>
          <w:lang w:val="el-GR"/>
        </w:rPr>
        <w:t>.</w:t>
      </w:r>
      <w:r w:rsidRPr="00CD588C">
        <w:rPr>
          <w:rFonts w:ascii="Times New Roman" w:eastAsia="Times New Roman" w:hAnsi="Times New Roman" w:cs="Times New Roman"/>
          <w:sz w:val="20"/>
          <w:szCs w:val="20"/>
          <w:vertAlign w:val="superscript"/>
          <w:lang w:val="el-GR"/>
        </w:rPr>
        <w:t>1</w:t>
      </w:r>
    </w:p>
    <w:p w:rsidR="00260409" w:rsidRPr="003D7B1C" w:rsidRDefault="00260409" w:rsidP="00260409">
      <w:pPr>
        <w:rPr>
          <w:rFonts w:ascii="Times New Roman" w:hAnsi="Times New Roman" w:cs="Times New Roman"/>
          <w:sz w:val="20"/>
          <w:szCs w:val="20"/>
          <w:lang w:val="el-GR"/>
        </w:rPr>
      </w:pPr>
      <w:r w:rsidRPr="003D7B1C">
        <w:rPr>
          <w:rFonts w:ascii="Times New Roman" w:hAnsi="Times New Roman" w:cs="Times New Roman"/>
          <w:sz w:val="20"/>
          <w:szCs w:val="20"/>
          <w:lang w:val="el-GR"/>
        </w:rPr>
        <w:t xml:space="preserve">Η νόσος μπορεί να οδηγήσει σε λοιμώδεις επιπλοκές που οφείλονται σε λειτουργική ανεπάρκεια του ανοσοποιητικού συστήματος εξαιτίας της νόσου και των θεραπειών. Σε κάποιο στάδιο της νόσου μπορεί να εμφανιστούν επίσης </w:t>
      </w:r>
      <w:proofErr w:type="spellStart"/>
      <w:r w:rsidRPr="003D7B1C">
        <w:rPr>
          <w:rFonts w:ascii="Times New Roman" w:hAnsi="Times New Roman" w:cs="Times New Roman"/>
          <w:sz w:val="20"/>
          <w:szCs w:val="20"/>
          <w:lang w:val="el-GR"/>
        </w:rPr>
        <w:t>αυτοάνοσα</w:t>
      </w:r>
      <w:proofErr w:type="spellEnd"/>
      <w:r w:rsidRPr="003D7B1C">
        <w:rPr>
          <w:rFonts w:ascii="Times New Roman" w:hAnsi="Times New Roman" w:cs="Times New Roman"/>
          <w:sz w:val="20"/>
          <w:szCs w:val="20"/>
          <w:lang w:val="el-GR"/>
        </w:rPr>
        <w:t xml:space="preserve"> νοσήματα που οφείλονται στην απορρύθμιση του ανοσοποιητικού συστήματος, όπως είναι η </w:t>
      </w:r>
      <w:proofErr w:type="spellStart"/>
      <w:r w:rsidRPr="003D7B1C">
        <w:rPr>
          <w:rFonts w:ascii="Times New Roman" w:hAnsi="Times New Roman" w:cs="Times New Roman"/>
          <w:sz w:val="20"/>
          <w:szCs w:val="20"/>
          <w:lang w:val="el-GR"/>
        </w:rPr>
        <w:t>αυτοάνοση</w:t>
      </w:r>
      <w:proofErr w:type="spellEnd"/>
      <w:r w:rsidRPr="003D7B1C">
        <w:rPr>
          <w:rFonts w:ascii="Times New Roman" w:hAnsi="Times New Roman" w:cs="Times New Roman"/>
          <w:sz w:val="20"/>
          <w:szCs w:val="20"/>
          <w:lang w:val="el-GR"/>
        </w:rPr>
        <w:t xml:space="preserve"> αιμολυτική αναιμία</w:t>
      </w:r>
      <w:r w:rsidR="00B34559">
        <w:rPr>
          <w:rFonts w:ascii="Times New Roman" w:eastAsia="Times New Roman" w:hAnsi="Times New Roman" w:cs="Times New Roman"/>
          <w:sz w:val="20"/>
          <w:szCs w:val="20"/>
          <w:vertAlign w:val="superscript"/>
          <w:lang w:val="el-GR"/>
        </w:rPr>
        <w:t>5</w:t>
      </w:r>
      <w:r w:rsidRPr="003D7B1C">
        <w:rPr>
          <w:rFonts w:ascii="Times New Roman" w:hAnsi="Times New Roman" w:cs="Times New Roman"/>
          <w:sz w:val="20"/>
          <w:szCs w:val="20"/>
          <w:lang w:val="el-GR"/>
        </w:rPr>
        <w:t>.</w:t>
      </w:r>
    </w:p>
    <w:p w:rsidR="00260409" w:rsidRPr="00CD588C" w:rsidRDefault="00260409" w:rsidP="00260409">
      <w:pPr>
        <w:rPr>
          <w:rFonts w:ascii="Times New Roman" w:hAnsi="Times New Roman" w:cs="Times New Roman"/>
          <w:sz w:val="20"/>
          <w:szCs w:val="20"/>
          <w:lang w:val="el-GR"/>
        </w:rPr>
      </w:pPr>
      <w:r w:rsidRPr="003D7B1C">
        <w:rPr>
          <w:rFonts w:ascii="Times New Roman" w:hAnsi="Times New Roman" w:cs="Times New Roman"/>
          <w:sz w:val="20"/>
          <w:szCs w:val="20"/>
          <w:lang w:val="el-GR"/>
        </w:rPr>
        <w:t>Η ανοσολογική ανεπάρκεια, επίσης, προδιαθέτει τον ασθενή στην εμφάνιση λοιμώξεων</w:t>
      </w:r>
      <w:r w:rsidR="00CD588C" w:rsidRPr="00CD588C">
        <w:rPr>
          <w:rFonts w:ascii="Times New Roman" w:hAnsi="Times New Roman" w:cs="Times New Roman"/>
          <w:sz w:val="20"/>
          <w:szCs w:val="20"/>
          <w:lang w:val="el-GR"/>
        </w:rPr>
        <w:t>.</w:t>
      </w:r>
    </w:p>
    <w:p w:rsidR="00CD588C" w:rsidRPr="00CD588C" w:rsidRDefault="00CD588C" w:rsidP="00260409">
      <w:pPr>
        <w:rPr>
          <w:rFonts w:ascii="Times New Roman" w:hAnsi="Times New Roman" w:cs="Times New Roman"/>
          <w:b/>
          <w:szCs w:val="20"/>
          <w:lang w:val="el-GR"/>
        </w:rPr>
      </w:pPr>
    </w:p>
    <w:p w:rsidR="00260409" w:rsidRPr="00EF32CB" w:rsidRDefault="00260409" w:rsidP="00260409">
      <w:pPr>
        <w:rPr>
          <w:rFonts w:ascii="Times New Roman" w:hAnsi="Times New Roman" w:cs="Times New Roman"/>
          <w:b/>
          <w:szCs w:val="20"/>
          <w:lang w:val="el-GR"/>
        </w:rPr>
      </w:pPr>
      <w:r w:rsidRPr="003D7B1C">
        <w:rPr>
          <w:rFonts w:ascii="Times New Roman" w:hAnsi="Times New Roman" w:cs="Times New Roman"/>
          <w:b/>
          <w:szCs w:val="20"/>
          <w:lang w:val="el-GR"/>
        </w:rPr>
        <w:t>Διάγνωση</w:t>
      </w:r>
    </w:p>
    <w:p w:rsidR="00260409" w:rsidRPr="003D7B1C" w:rsidRDefault="00260409" w:rsidP="00260409">
      <w:pPr>
        <w:rPr>
          <w:rFonts w:ascii="Times New Roman" w:hAnsi="Times New Roman" w:cs="Times New Roman"/>
          <w:sz w:val="20"/>
          <w:szCs w:val="20"/>
          <w:lang w:val="el-GR"/>
        </w:rPr>
      </w:pPr>
      <w:r w:rsidRPr="003D7B1C">
        <w:rPr>
          <w:rFonts w:ascii="Times New Roman" w:hAnsi="Times New Roman" w:cs="Times New Roman"/>
          <w:sz w:val="20"/>
          <w:szCs w:val="20"/>
          <w:lang w:val="el-GR"/>
        </w:rPr>
        <w:t xml:space="preserve">Η διάγνωση της ΧΛΛ στο μεγαλύτερο μέρος των περιστατικών τίθεται από αιματολογικές εξετάσεις ρουτίνας που εμφανίζουν παρουσία &gt;5 x 109/L λεμφοκυττάρων στο περιφερικό αίμα. Μόνο η μειοψηφία των περιπτώσεων εμφανίζει κατά τη στιγμή της διάγνωσης πλήρως ανεπτυγμένη κλινική εικόνα με </w:t>
      </w:r>
      <w:proofErr w:type="spellStart"/>
      <w:r w:rsidRPr="003D7B1C">
        <w:rPr>
          <w:rFonts w:ascii="Times New Roman" w:hAnsi="Times New Roman" w:cs="Times New Roman"/>
          <w:sz w:val="20"/>
          <w:szCs w:val="20"/>
          <w:lang w:val="el-GR"/>
        </w:rPr>
        <w:t>λεμφαδενοπάθεια</w:t>
      </w:r>
      <w:proofErr w:type="spellEnd"/>
      <w:r w:rsidRPr="003D7B1C">
        <w:rPr>
          <w:rFonts w:ascii="Times New Roman" w:hAnsi="Times New Roman" w:cs="Times New Roman"/>
          <w:sz w:val="20"/>
          <w:szCs w:val="20"/>
          <w:lang w:val="el-GR"/>
        </w:rPr>
        <w:t xml:space="preserve"> ή/και σπληνομεγαλία.</w:t>
      </w:r>
    </w:p>
    <w:p w:rsidR="00260409" w:rsidRPr="003D7B1C" w:rsidRDefault="00260409" w:rsidP="00260409">
      <w:pPr>
        <w:rPr>
          <w:rFonts w:ascii="Times New Roman" w:hAnsi="Times New Roman" w:cs="Times New Roman"/>
          <w:sz w:val="20"/>
          <w:szCs w:val="20"/>
          <w:lang w:val="el-GR"/>
        </w:rPr>
      </w:pPr>
      <w:r w:rsidRPr="003D7B1C">
        <w:rPr>
          <w:rFonts w:ascii="Times New Roman" w:hAnsi="Times New Roman" w:cs="Times New Roman"/>
          <w:sz w:val="20"/>
          <w:szCs w:val="20"/>
          <w:lang w:val="el-GR"/>
        </w:rPr>
        <w:t>Η βιοψία των λεμφαδένων μπορεί να είναι χρήσιμη για να επιβεβαιωθούν τα αμφίβολα περιστατικά, στα οποία δεν μπορεί να τεθεί διάγνωση μόνο με την εξέταση αίματος. Επίσης, αποτελεί εξέταση ρουτίνας, όταν η νόσος γίνεται πιο επιθετική.</w:t>
      </w:r>
    </w:p>
    <w:p w:rsidR="00260409" w:rsidRPr="003D7B1C" w:rsidRDefault="00260409" w:rsidP="00260409">
      <w:pPr>
        <w:rPr>
          <w:rFonts w:ascii="Times New Roman" w:hAnsi="Times New Roman" w:cs="Times New Roman"/>
          <w:sz w:val="20"/>
          <w:szCs w:val="20"/>
          <w:lang w:val="el-GR"/>
        </w:rPr>
      </w:pPr>
    </w:p>
    <w:p w:rsidR="00260409" w:rsidRPr="003D7B1C" w:rsidRDefault="00260409" w:rsidP="00260409">
      <w:pPr>
        <w:rPr>
          <w:rFonts w:ascii="Times New Roman" w:hAnsi="Times New Roman" w:cs="Times New Roman"/>
          <w:b/>
          <w:szCs w:val="20"/>
          <w:lang w:val="el-GR"/>
        </w:rPr>
      </w:pPr>
      <w:r w:rsidRPr="003D7B1C">
        <w:rPr>
          <w:rFonts w:ascii="Times New Roman" w:hAnsi="Times New Roman" w:cs="Times New Roman"/>
          <w:b/>
          <w:szCs w:val="20"/>
          <w:lang w:val="el-GR"/>
        </w:rPr>
        <w:t>Προσέγγιση ανάλογα με τη φυσική κατάσταση</w:t>
      </w:r>
    </w:p>
    <w:p w:rsidR="00260409" w:rsidRPr="003D7B1C" w:rsidRDefault="00260409" w:rsidP="00260409">
      <w:pPr>
        <w:rPr>
          <w:rFonts w:ascii="Times New Roman" w:hAnsi="Times New Roman" w:cs="Times New Roman"/>
          <w:sz w:val="20"/>
          <w:szCs w:val="20"/>
          <w:lang w:val="el-GR"/>
        </w:rPr>
      </w:pPr>
      <w:r w:rsidRPr="003D7B1C">
        <w:rPr>
          <w:rFonts w:ascii="Times New Roman" w:hAnsi="Times New Roman" w:cs="Times New Roman"/>
          <w:sz w:val="20"/>
          <w:szCs w:val="20"/>
          <w:lang w:val="el-GR"/>
        </w:rPr>
        <w:t xml:space="preserve">Η ηλικία από μόνη της είναι ένας ανεξάρτητος προγνωστικός παράγοντας στους ασθενείς με ΧΛΛ, αλλά η έκταση του σχετιζόμενου με την ηλικία κινδύνου ποικίλει στα άτομα της ίδιας ηλικιακή ομάδας. Από τη στιγμή που η λειτουργικότητα του οργανισμού και η παρουσία και η έκταση των </w:t>
      </w:r>
      <w:proofErr w:type="spellStart"/>
      <w:r w:rsidRPr="003D7B1C">
        <w:rPr>
          <w:rFonts w:ascii="Times New Roman" w:hAnsi="Times New Roman" w:cs="Times New Roman"/>
          <w:sz w:val="20"/>
          <w:szCs w:val="20"/>
          <w:lang w:val="el-GR"/>
        </w:rPr>
        <w:t>συννοσηροτήτων</w:t>
      </w:r>
      <w:proofErr w:type="spellEnd"/>
      <w:r w:rsidRPr="003D7B1C">
        <w:rPr>
          <w:rFonts w:ascii="Times New Roman" w:hAnsi="Times New Roman" w:cs="Times New Roman"/>
          <w:sz w:val="20"/>
          <w:szCs w:val="20"/>
          <w:lang w:val="el-GR"/>
        </w:rPr>
        <w:t xml:space="preserve"> στους ηλικιωμένους είναι από τους βασικότερους παράγοντες της αντοχής στη θεραπεία, είναι απαραίτητη μία αντικειμενική εκτίμηση της βιολογικής ηλικίας του ασθενούς πριν από την έναρξη της θεραπείας. Δεν υπάρχει ενιαίο τυποποιημένο εργαλείο για την εκτίμηση της βιολογικής ηλικίας των ασθενών με ΧΛΛ: στην κλινική πράξη φαίνεται ότι είναι κατάλληλο να λαμβάνονται υπόψη διάφοροι παράγοντες του ασθενούς, όπως είναι οι </w:t>
      </w:r>
      <w:proofErr w:type="spellStart"/>
      <w:r w:rsidRPr="003D7B1C">
        <w:rPr>
          <w:rFonts w:ascii="Times New Roman" w:hAnsi="Times New Roman" w:cs="Times New Roman"/>
          <w:sz w:val="20"/>
          <w:szCs w:val="20"/>
          <w:lang w:val="el-GR"/>
        </w:rPr>
        <w:t>συννοσηρότητες</w:t>
      </w:r>
      <w:proofErr w:type="spellEnd"/>
      <w:r w:rsidRPr="003D7B1C">
        <w:rPr>
          <w:rFonts w:ascii="Times New Roman" w:hAnsi="Times New Roman" w:cs="Times New Roman"/>
          <w:sz w:val="20"/>
          <w:szCs w:val="20"/>
          <w:lang w:val="el-GR"/>
        </w:rPr>
        <w:t>, η κατάσταση λειτουργικότητας και η θρέψη και η πιθανή παρουσία γηριατρικού συνδρόμου.</w:t>
      </w:r>
    </w:p>
    <w:p w:rsidR="00EE71BB" w:rsidRPr="003D7B1C" w:rsidRDefault="00EE71BB" w:rsidP="00EE71BB">
      <w:pPr>
        <w:rPr>
          <w:rFonts w:ascii="Times New Roman" w:hAnsi="Times New Roman" w:cs="Times New Roman"/>
          <w:sz w:val="20"/>
          <w:szCs w:val="20"/>
          <w:lang w:val="el-GR"/>
        </w:rPr>
      </w:pPr>
    </w:p>
    <w:p w:rsidR="00EE71BB" w:rsidRPr="003D7B1C" w:rsidRDefault="00EE71BB" w:rsidP="00EE71BB">
      <w:pPr>
        <w:rPr>
          <w:rFonts w:ascii="Times New Roman" w:hAnsi="Times New Roman" w:cs="Times New Roman"/>
          <w:b/>
          <w:szCs w:val="20"/>
          <w:lang w:val="el-GR"/>
        </w:rPr>
      </w:pPr>
      <w:proofErr w:type="spellStart"/>
      <w:r w:rsidRPr="003D7B1C">
        <w:rPr>
          <w:rFonts w:ascii="Times New Roman" w:hAnsi="Times New Roman" w:cs="Times New Roman"/>
          <w:b/>
          <w:szCs w:val="20"/>
          <w:lang w:val="el-GR"/>
        </w:rPr>
        <w:t>Σταδιοποίηση</w:t>
      </w:r>
      <w:proofErr w:type="spellEnd"/>
      <w:r w:rsidRPr="003D7B1C">
        <w:rPr>
          <w:rFonts w:ascii="Times New Roman" w:hAnsi="Times New Roman" w:cs="Times New Roman"/>
          <w:b/>
          <w:szCs w:val="20"/>
          <w:lang w:val="el-GR"/>
        </w:rPr>
        <w:t xml:space="preserve"> &amp; πρόγνωση</w:t>
      </w:r>
    </w:p>
    <w:p w:rsidR="00EE71BB" w:rsidRPr="003D7B1C" w:rsidRDefault="00EE71BB" w:rsidP="00EE71BB">
      <w:pPr>
        <w:rPr>
          <w:rFonts w:ascii="Times New Roman" w:hAnsi="Times New Roman" w:cs="Times New Roman"/>
          <w:b/>
          <w:szCs w:val="20"/>
          <w:lang w:val="el-GR"/>
        </w:rPr>
      </w:pPr>
      <w:proofErr w:type="spellStart"/>
      <w:r w:rsidRPr="003D7B1C">
        <w:rPr>
          <w:rFonts w:ascii="Times New Roman" w:hAnsi="Times New Roman" w:cs="Times New Roman"/>
          <w:b/>
          <w:szCs w:val="20"/>
          <w:lang w:val="el-GR"/>
        </w:rPr>
        <w:t>Σταδιοποίηση</w:t>
      </w:r>
      <w:proofErr w:type="spellEnd"/>
    </w:p>
    <w:p w:rsidR="00EE71BB" w:rsidRPr="003D7B1C" w:rsidRDefault="00EE71BB" w:rsidP="00EE71BB">
      <w:pPr>
        <w:rPr>
          <w:rFonts w:ascii="Times New Roman" w:hAnsi="Times New Roman" w:cs="Times New Roman"/>
          <w:sz w:val="20"/>
          <w:szCs w:val="20"/>
          <w:lang w:val="el-GR"/>
        </w:rPr>
      </w:pPr>
      <w:r w:rsidRPr="003D7B1C">
        <w:rPr>
          <w:rFonts w:ascii="Times New Roman" w:hAnsi="Times New Roman" w:cs="Times New Roman"/>
          <w:sz w:val="20"/>
          <w:szCs w:val="20"/>
          <w:lang w:val="el-GR"/>
        </w:rPr>
        <w:t xml:space="preserve">Οι πρώιμοι προγνωστικοί δείκτες προέρχονται από σχήματα </w:t>
      </w:r>
      <w:proofErr w:type="spellStart"/>
      <w:r w:rsidRPr="003D7B1C">
        <w:rPr>
          <w:rFonts w:ascii="Times New Roman" w:hAnsi="Times New Roman" w:cs="Times New Roman"/>
          <w:sz w:val="20"/>
          <w:szCs w:val="20"/>
          <w:lang w:val="el-GR"/>
        </w:rPr>
        <w:t>σταδιοποίησης</w:t>
      </w:r>
      <w:proofErr w:type="spellEnd"/>
      <w:r w:rsidRPr="003D7B1C">
        <w:rPr>
          <w:rFonts w:ascii="Times New Roman" w:hAnsi="Times New Roman" w:cs="Times New Roman"/>
          <w:sz w:val="20"/>
          <w:szCs w:val="20"/>
          <w:lang w:val="el-GR"/>
        </w:rPr>
        <w:t xml:space="preserve"> που επέτρεπαν τη διάκριση των ασθενών σε κατηγορίες με βάση απλά </w:t>
      </w:r>
      <w:proofErr w:type="spellStart"/>
      <w:r w:rsidRPr="003D7B1C">
        <w:rPr>
          <w:rFonts w:ascii="Times New Roman" w:hAnsi="Times New Roman" w:cs="Times New Roman"/>
          <w:sz w:val="20"/>
          <w:szCs w:val="20"/>
          <w:lang w:val="el-GR"/>
        </w:rPr>
        <w:t>κλινικο</w:t>
      </w:r>
      <w:proofErr w:type="spellEnd"/>
      <w:r w:rsidRPr="003D7B1C">
        <w:rPr>
          <w:rFonts w:ascii="Times New Roman" w:hAnsi="Times New Roman" w:cs="Times New Roman"/>
          <w:sz w:val="20"/>
          <w:szCs w:val="20"/>
          <w:lang w:val="el-GR"/>
        </w:rPr>
        <w:t>-αιματολογικά στοιχεία: αντικειμενική εξέταση και γενική εξέταση αίματος.</w:t>
      </w:r>
    </w:p>
    <w:p w:rsidR="00EE71BB" w:rsidRPr="003D7B1C" w:rsidRDefault="00EE71BB" w:rsidP="00EE71BB">
      <w:pPr>
        <w:rPr>
          <w:rFonts w:ascii="Times New Roman" w:hAnsi="Times New Roman" w:cs="Times New Roman"/>
          <w:sz w:val="20"/>
          <w:szCs w:val="20"/>
          <w:lang w:val="el-GR"/>
        </w:rPr>
      </w:pPr>
    </w:p>
    <w:p w:rsidR="00EE71BB" w:rsidRPr="003D7B1C" w:rsidRDefault="00EE71BB" w:rsidP="00EE71BB">
      <w:pPr>
        <w:rPr>
          <w:rFonts w:ascii="Times New Roman" w:hAnsi="Times New Roman" w:cs="Times New Roman"/>
          <w:b/>
          <w:szCs w:val="20"/>
          <w:lang w:val="el-GR"/>
        </w:rPr>
      </w:pPr>
      <w:r w:rsidRPr="003D7B1C">
        <w:rPr>
          <w:rFonts w:ascii="Times New Roman" w:hAnsi="Times New Roman" w:cs="Times New Roman"/>
          <w:b/>
          <w:szCs w:val="20"/>
          <w:lang w:val="el-GR"/>
        </w:rPr>
        <w:t>Πρόγνωση</w:t>
      </w:r>
    </w:p>
    <w:p w:rsidR="00EE71BB" w:rsidRPr="003D7B1C" w:rsidRDefault="00EE71BB" w:rsidP="00EE71BB">
      <w:pPr>
        <w:rPr>
          <w:rFonts w:ascii="Times New Roman" w:hAnsi="Times New Roman" w:cs="Times New Roman"/>
          <w:sz w:val="20"/>
          <w:szCs w:val="20"/>
          <w:lang w:val="el-GR"/>
        </w:rPr>
      </w:pPr>
      <w:r w:rsidRPr="003D7B1C">
        <w:rPr>
          <w:rFonts w:ascii="Times New Roman" w:hAnsi="Times New Roman" w:cs="Times New Roman"/>
          <w:sz w:val="20"/>
          <w:szCs w:val="20"/>
          <w:lang w:val="el-GR"/>
        </w:rPr>
        <w:t xml:space="preserve">Πέρα από την κλινική </w:t>
      </w:r>
      <w:proofErr w:type="spellStart"/>
      <w:r w:rsidRPr="003D7B1C">
        <w:rPr>
          <w:rFonts w:ascii="Times New Roman" w:hAnsi="Times New Roman" w:cs="Times New Roman"/>
          <w:sz w:val="20"/>
          <w:szCs w:val="20"/>
          <w:lang w:val="el-GR"/>
        </w:rPr>
        <w:t>σταδιοποίηση</w:t>
      </w:r>
      <w:proofErr w:type="spellEnd"/>
      <w:r w:rsidRPr="003D7B1C">
        <w:rPr>
          <w:rFonts w:ascii="Times New Roman" w:hAnsi="Times New Roman" w:cs="Times New Roman"/>
          <w:sz w:val="20"/>
          <w:szCs w:val="20"/>
          <w:lang w:val="el-GR"/>
        </w:rPr>
        <w:t>, υπάρχουν ορισμένα στοιχεία που καθοδηγούν τον ιατρό στον προσδιορισμό της πρόγνωσης και της εξέλιξης της νόσου:</w:t>
      </w:r>
    </w:p>
    <w:p w:rsidR="00EE71BB" w:rsidRPr="003D7B1C" w:rsidRDefault="00EE71BB" w:rsidP="00797E19">
      <w:pPr>
        <w:pStyle w:val="ListParagraph"/>
        <w:numPr>
          <w:ilvl w:val="0"/>
          <w:numId w:val="18"/>
        </w:numPr>
        <w:rPr>
          <w:rFonts w:ascii="Times New Roman" w:hAnsi="Times New Roman" w:cs="Times New Roman"/>
          <w:sz w:val="20"/>
          <w:szCs w:val="20"/>
          <w:lang w:val="el-GR"/>
        </w:rPr>
      </w:pPr>
      <w:r w:rsidRPr="003D7B1C">
        <w:rPr>
          <w:rFonts w:ascii="Times New Roman" w:hAnsi="Times New Roman" w:cs="Times New Roman"/>
          <w:sz w:val="20"/>
          <w:szCs w:val="20"/>
          <w:lang w:val="el-GR"/>
        </w:rPr>
        <w:lastRenderedPageBreak/>
        <w:t xml:space="preserve">Επίπεδα έκφρασης της β2 </w:t>
      </w:r>
      <w:proofErr w:type="spellStart"/>
      <w:r w:rsidRPr="003D7B1C">
        <w:rPr>
          <w:rFonts w:ascii="Times New Roman" w:hAnsi="Times New Roman" w:cs="Times New Roman"/>
          <w:sz w:val="20"/>
          <w:szCs w:val="20"/>
          <w:lang w:val="el-GR"/>
        </w:rPr>
        <w:t>μικροσφαιρίνης</w:t>
      </w:r>
      <w:proofErr w:type="spellEnd"/>
      <w:r w:rsidRPr="003D7B1C">
        <w:rPr>
          <w:rFonts w:ascii="Times New Roman" w:hAnsi="Times New Roman" w:cs="Times New Roman"/>
          <w:sz w:val="20"/>
          <w:szCs w:val="20"/>
          <w:lang w:val="el-GR"/>
        </w:rPr>
        <w:t>, η οποία υποδεικνύει την εξέλιξη σε κακοήθεια</w:t>
      </w:r>
      <w:r w:rsidR="00B34559">
        <w:rPr>
          <w:rFonts w:ascii="Times New Roman" w:eastAsia="Times New Roman" w:hAnsi="Times New Roman" w:cs="Times New Roman"/>
          <w:sz w:val="20"/>
          <w:szCs w:val="20"/>
          <w:vertAlign w:val="superscript"/>
          <w:lang w:val="el-GR"/>
        </w:rPr>
        <w:t>8</w:t>
      </w:r>
    </w:p>
    <w:p w:rsidR="00EE71BB" w:rsidRPr="003D7B1C" w:rsidRDefault="00EE71BB" w:rsidP="00797E19">
      <w:pPr>
        <w:pStyle w:val="ListParagraph"/>
        <w:numPr>
          <w:ilvl w:val="0"/>
          <w:numId w:val="18"/>
        </w:numPr>
        <w:rPr>
          <w:rFonts w:ascii="Times New Roman" w:hAnsi="Times New Roman" w:cs="Times New Roman"/>
          <w:sz w:val="20"/>
          <w:szCs w:val="20"/>
          <w:lang w:val="el-GR"/>
        </w:rPr>
      </w:pPr>
      <w:r w:rsidRPr="003D7B1C">
        <w:rPr>
          <w:rFonts w:ascii="Times New Roman" w:hAnsi="Times New Roman" w:cs="Times New Roman"/>
          <w:sz w:val="20"/>
          <w:szCs w:val="20"/>
          <w:lang w:val="el-GR"/>
        </w:rPr>
        <w:t>Επίπεδα του ενζύμου LDH (γαλακτικής αφυδρογονάσης)</w:t>
      </w:r>
      <w:r w:rsidR="00B34559">
        <w:rPr>
          <w:rFonts w:ascii="Times New Roman" w:eastAsia="Times New Roman" w:hAnsi="Times New Roman" w:cs="Times New Roman"/>
          <w:sz w:val="20"/>
          <w:szCs w:val="20"/>
          <w:vertAlign w:val="superscript"/>
          <w:lang w:val="el-GR"/>
        </w:rPr>
        <w:t>9</w:t>
      </w:r>
    </w:p>
    <w:p w:rsidR="00EE71BB" w:rsidRPr="003D7B1C" w:rsidRDefault="00EE71BB" w:rsidP="00797E19">
      <w:pPr>
        <w:pStyle w:val="ListParagraph"/>
        <w:numPr>
          <w:ilvl w:val="0"/>
          <w:numId w:val="18"/>
        </w:numPr>
        <w:rPr>
          <w:rFonts w:ascii="Times New Roman" w:hAnsi="Times New Roman" w:cs="Times New Roman"/>
          <w:sz w:val="20"/>
          <w:szCs w:val="20"/>
          <w:lang w:val="el-GR"/>
        </w:rPr>
      </w:pPr>
      <w:proofErr w:type="spellStart"/>
      <w:r w:rsidRPr="003D7B1C">
        <w:rPr>
          <w:rFonts w:ascii="Times New Roman" w:hAnsi="Times New Roman" w:cs="Times New Roman"/>
          <w:sz w:val="20"/>
          <w:szCs w:val="20"/>
          <w:lang w:val="el-GR"/>
        </w:rPr>
        <w:t>Κυτταρογενετικές</w:t>
      </w:r>
      <w:proofErr w:type="spellEnd"/>
      <w:r w:rsidRPr="003D7B1C">
        <w:rPr>
          <w:rFonts w:ascii="Times New Roman" w:hAnsi="Times New Roman" w:cs="Times New Roman"/>
          <w:sz w:val="20"/>
          <w:szCs w:val="20"/>
          <w:lang w:val="el-GR"/>
        </w:rPr>
        <w:t xml:space="preserve"> αλλαγές: υψηλή έκφραση του αντιγόνου CD38 στα λευχαιμικά κύτταρα, διαγραφή (δηλαδή η έλλειψη ενός τμήματος) των χρωμοσωμάτων 11p και 17q, απουσία μεταλλάξεων στα γονίδια που κωδικοποιούν ένα τμήμα των </w:t>
      </w:r>
      <w:proofErr w:type="spellStart"/>
      <w:r w:rsidRPr="003D7B1C">
        <w:rPr>
          <w:rFonts w:ascii="Times New Roman" w:hAnsi="Times New Roman" w:cs="Times New Roman"/>
          <w:sz w:val="20"/>
          <w:szCs w:val="20"/>
          <w:lang w:val="el-GR"/>
        </w:rPr>
        <w:t>ανοσοσφαιρινών</w:t>
      </w:r>
      <w:proofErr w:type="spellEnd"/>
      <w:r w:rsidRPr="003D7B1C">
        <w:rPr>
          <w:rFonts w:ascii="Times New Roman" w:hAnsi="Times New Roman" w:cs="Times New Roman"/>
          <w:sz w:val="20"/>
          <w:szCs w:val="20"/>
          <w:lang w:val="el-GR"/>
        </w:rPr>
        <w:t xml:space="preserve"> των λευχαιμικών κυττάρων</w:t>
      </w:r>
      <w:r w:rsidR="00B34559">
        <w:rPr>
          <w:rFonts w:ascii="Times New Roman" w:eastAsia="Times New Roman" w:hAnsi="Times New Roman" w:cs="Times New Roman"/>
          <w:sz w:val="20"/>
          <w:szCs w:val="20"/>
          <w:vertAlign w:val="superscript"/>
          <w:lang w:val="el-GR"/>
        </w:rPr>
        <w:t>7</w:t>
      </w:r>
    </w:p>
    <w:p w:rsidR="00EE71BB" w:rsidRPr="003D7B1C" w:rsidRDefault="00EE71BB" w:rsidP="00797E19">
      <w:pPr>
        <w:pStyle w:val="ListParagraph"/>
        <w:numPr>
          <w:ilvl w:val="0"/>
          <w:numId w:val="18"/>
        </w:numPr>
        <w:rPr>
          <w:rFonts w:ascii="Times New Roman" w:hAnsi="Times New Roman" w:cs="Times New Roman"/>
          <w:sz w:val="20"/>
          <w:szCs w:val="20"/>
          <w:lang w:val="el-GR"/>
        </w:rPr>
      </w:pPr>
      <w:r w:rsidRPr="003D7B1C">
        <w:rPr>
          <w:rFonts w:ascii="Times New Roman" w:hAnsi="Times New Roman" w:cs="Times New Roman"/>
          <w:sz w:val="20"/>
          <w:szCs w:val="20"/>
          <w:lang w:val="el-GR"/>
        </w:rPr>
        <w:t>Τρόπος διήθησης του μυελού των οστών: η διάχυτου τύπου διήθηση στη βιοψία των οστών σχετίζεται με δυσμενέστερη πρόγνωση, και είναι ενδεικτική προχωρημένης και εξελισσόμενης νόσου. Η διήθηση διάμεσου ή οζώδους τύπου σχετίζεται με τα αρχικά στάδια της νόσου</w:t>
      </w:r>
      <w:r w:rsidR="00B34559">
        <w:rPr>
          <w:rFonts w:ascii="Times New Roman" w:eastAsia="Times New Roman" w:hAnsi="Times New Roman" w:cs="Times New Roman"/>
          <w:sz w:val="20"/>
          <w:szCs w:val="20"/>
          <w:vertAlign w:val="superscript"/>
          <w:lang w:val="el-GR"/>
        </w:rPr>
        <w:t>7,10</w:t>
      </w:r>
    </w:p>
    <w:p w:rsidR="00EE71BB" w:rsidRPr="003D7B1C" w:rsidRDefault="00EE71BB" w:rsidP="00EE71BB">
      <w:pPr>
        <w:rPr>
          <w:rFonts w:ascii="Times New Roman" w:hAnsi="Times New Roman" w:cs="Times New Roman"/>
          <w:sz w:val="20"/>
          <w:szCs w:val="20"/>
          <w:lang w:val="el-GR"/>
        </w:rPr>
      </w:pPr>
      <w:r w:rsidRPr="003D7B1C">
        <w:rPr>
          <w:rFonts w:ascii="Times New Roman" w:hAnsi="Times New Roman" w:cs="Times New Roman"/>
          <w:sz w:val="20"/>
          <w:szCs w:val="20"/>
          <w:lang w:val="el-GR"/>
        </w:rPr>
        <w:t xml:space="preserve">Ο τύπος διήθησης του μυελού των οστών, αν και εκτιμούνταν συστηματικά πολύ </w:t>
      </w:r>
      <w:bookmarkStart w:id="0" w:name="_GoBack"/>
      <w:bookmarkEnd w:id="0"/>
      <w:r w:rsidRPr="003D7B1C">
        <w:rPr>
          <w:rFonts w:ascii="Times New Roman" w:hAnsi="Times New Roman" w:cs="Times New Roman"/>
          <w:sz w:val="20"/>
          <w:szCs w:val="20"/>
          <w:lang w:val="el-GR"/>
        </w:rPr>
        <w:t xml:space="preserve">στο παρελθόν, δεν φαίνεται να αποτελεί σήμερα σημαντικό προγνωστικό παράγοντα και είναι ανεξάρτητος από </w:t>
      </w:r>
      <w:r w:rsidR="00797E19" w:rsidRPr="003D7B1C">
        <w:rPr>
          <w:rFonts w:ascii="Times New Roman" w:hAnsi="Times New Roman" w:cs="Times New Roman"/>
          <w:sz w:val="20"/>
          <w:szCs w:val="20"/>
          <w:lang w:val="el-GR"/>
        </w:rPr>
        <w:t>τους νέους βιολογικούς δείκτες.</w:t>
      </w:r>
    </w:p>
    <w:p w:rsidR="003D7B1C" w:rsidRPr="003D7B1C" w:rsidRDefault="003D7B1C" w:rsidP="003D7B1C">
      <w:pPr>
        <w:rPr>
          <w:rFonts w:ascii="Times New Roman" w:hAnsi="Times New Roman" w:cs="Times New Roman"/>
          <w:sz w:val="20"/>
          <w:szCs w:val="20"/>
          <w:lang w:val="el-GR"/>
        </w:rPr>
      </w:pPr>
    </w:p>
    <w:p w:rsidR="003D7B1C" w:rsidRPr="003D7B1C" w:rsidRDefault="003D7B1C" w:rsidP="003D7B1C">
      <w:pPr>
        <w:rPr>
          <w:rFonts w:ascii="Times New Roman" w:hAnsi="Times New Roman" w:cs="Times New Roman"/>
          <w:b/>
          <w:szCs w:val="20"/>
          <w:lang w:val="el-GR"/>
        </w:rPr>
      </w:pPr>
      <w:r w:rsidRPr="003D7B1C">
        <w:rPr>
          <w:rFonts w:ascii="Times New Roman" w:hAnsi="Times New Roman" w:cs="Times New Roman"/>
          <w:b/>
          <w:szCs w:val="20"/>
          <w:lang w:val="el-GR"/>
        </w:rPr>
        <w:t>Θεραπεία</w:t>
      </w:r>
    </w:p>
    <w:p w:rsidR="003D7B1C" w:rsidRPr="003D7B1C" w:rsidRDefault="003D7B1C" w:rsidP="003D7B1C">
      <w:pPr>
        <w:rPr>
          <w:rFonts w:ascii="Times New Roman" w:hAnsi="Times New Roman" w:cs="Times New Roman"/>
          <w:sz w:val="20"/>
          <w:szCs w:val="20"/>
          <w:lang w:val="el-GR"/>
        </w:rPr>
      </w:pPr>
      <w:r w:rsidRPr="003D7B1C">
        <w:rPr>
          <w:rFonts w:ascii="Times New Roman" w:hAnsi="Times New Roman" w:cs="Times New Roman"/>
          <w:sz w:val="20"/>
          <w:szCs w:val="20"/>
          <w:lang w:val="el-GR"/>
        </w:rPr>
        <w:t xml:space="preserve">Η Χρόνια Λεμφοκυτταρική Λευχαιμία είναι μία νόσος με βραδεία πορεία και ως εκ τούτου, αφού γίνει η </w:t>
      </w:r>
      <w:proofErr w:type="spellStart"/>
      <w:r w:rsidRPr="003D7B1C">
        <w:rPr>
          <w:rFonts w:ascii="Times New Roman" w:hAnsi="Times New Roman" w:cs="Times New Roman"/>
          <w:sz w:val="20"/>
          <w:szCs w:val="20"/>
          <w:lang w:val="el-GR"/>
        </w:rPr>
        <w:t>σταδιοποίηση</w:t>
      </w:r>
      <w:proofErr w:type="spellEnd"/>
      <w:r w:rsidRPr="003D7B1C">
        <w:rPr>
          <w:rFonts w:ascii="Times New Roman" w:hAnsi="Times New Roman" w:cs="Times New Roman"/>
          <w:sz w:val="20"/>
          <w:szCs w:val="20"/>
          <w:lang w:val="el-GR"/>
        </w:rPr>
        <w:t>, δεν είναι απαραίτητο ότι όλοι οι ασθενείς θα πρέπει να υποβληθούν αμέσως σε θεραπεία. Ωστόσο, σε πολλές περιπτώσεις η θεραπεία ξεκινά μόνο όταν η νόσος γίνει συμπτωματική, διαφορετικά υιοθετείται η τεχνική του "</w:t>
      </w:r>
      <w:proofErr w:type="spellStart"/>
      <w:r w:rsidRPr="003D7B1C">
        <w:rPr>
          <w:rFonts w:ascii="Times New Roman" w:hAnsi="Times New Roman" w:cs="Times New Roman"/>
          <w:sz w:val="20"/>
          <w:szCs w:val="20"/>
          <w:lang w:val="el-GR"/>
        </w:rPr>
        <w:t>watch</w:t>
      </w:r>
      <w:proofErr w:type="spellEnd"/>
      <w:r w:rsidRPr="003D7B1C">
        <w:rPr>
          <w:rFonts w:ascii="Times New Roman" w:hAnsi="Times New Roman" w:cs="Times New Roman"/>
          <w:sz w:val="20"/>
          <w:szCs w:val="20"/>
          <w:lang w:val="el-GR"/>
        </w:rPr>
        <w:t xml:space="preserve"> </w:t>
      </w:r>
      <w:proofErr w:type="spellStart"/>
      <w:r w:rsidRPr="003D7B1C">
        <w:rPr>
          <w:rFonts w:ascii="Times New Roman" w:hAnsi="Times New Roman" w:cs="Times New Roman"/>
          <w:sz w:val="20"/>
          <w:szCs w:val="20"/>
          <w:lang w:val="el-GR"/>
        </w:rPr>
        <w:t>and</w:t>
      </w:r>
      <w:proofErr w:type="spellEnd"/>
      <w:r w:rsidRPr="003D7B1C">
        <w:rPr>
          <w:rFonts w:ascii="Times New Roman" w:hAnsi="Times New Roman" w:cs="Times New Roman"/>
          <w:sz w:val="20"/>
          <w:szCs w:val="20"/>
          <w:lang w:val="el-GR"/>
        </w:rPr>
        <w:t xml:space="preserve"> </w:t>
      </w:r>
      <w:proofErr w:type="spellStart"/>
      <w:r w:rsidRPr="003D7B1C">
        <w:rPr>
          <w:rFonts w:ascii="Times New Roman" w:hAnsi="Times New Roman" w:cs="Times New Roman"/>
          <w:sz w:val="20"/>
          <w:szCs w:val="20"/>
          <w:lang w:val="el-GR"/>
        </w:rPr>
        <w:t>wait</w:t>
      </w:r>
      <w:proofErr w:type="spellEnd"/>
      <w:r w:rsidRPr="003D7B1C">
        <w:rPr>
          <w:rFonts w:ascii="Times New Roman" w:hAnsi="Times New Roman" w:cs="Times New Roman"/>
          <w:sz w:val="20"/>
          <w:szCs w:val="20"/>
          <w:lang w:val="el-GR"/>
        </w:rPr>
        <w:t>" (δηλαδή αναμονή και εν τω μεταξύ πραγματοποίηση περιοδικών ελ</w:t>
      </w:r>
      <w:r>
        <w:rPr>
          <w:rFonts w:ascii="Times New Roman" w:hAnsi="Times New Roman" w:cs="Times New Roman"/>
          <w:sz w:val="20"/>
          <w:szCs w:val="20"/>
          <w:lang w:val="el-GR"/>
        </w:rPr>
        <w:t>έγχων της πορείας της νόσου)</w:t>
      </w:r>
      <w:r w:rsidR="00B34559">
        <w:rPr>
          <w:rFonts w:ascii="Times New Roman" w:eastAsia="Times New Roman" w:hAnsi="Times New Roman" w:cs="Times New Roman"/>
          <w:sz w:val="20"/>
          <w:szCs w:val="20"/>
          <w:vertAlign w:val="superscript"/>
          <w:lang w:val="el-GR"/>
        </w:rPr>
        <w:t>6</w:t>
      </w:r>
      <w:r>
        <w:rPr>
          <w:rFonts w:ascii="Times New Roman" w:hAnsi="Times New Roman" w:cs="Times New Roman"/>
          <w:sz w:val="20"/>
          <w:szCs w:val="20"/>
          <w:lang w:val="el-GR"/>
        </w:rPr>
        <w:t>.</w:t>
      </w:r>
    </w:p>
    <w:p w:rsidR="003D7B1C" w:rsidRPr="00CD588C" w:rsidRDefault="003D7B1C" w:rsidP="003D7B1C">
      <w:pPr>
        <w:rPr>
          <w:rFonts w:ascii="Times New Roman" w:eastAsia="Times New Roman" w:hAnsi="Times New Roman" w:cs="Times New Roman"/>
          <w:sz w:val="20"/>
          <w:szCs w:val="20"/>
          <w:vertAlign w:val="superscript"/>
          <w:lang w:val="el-GR"/>
        </w:rPr>
      </w:pPr>
      <w:r w:rsidRPr="003D7B1C">
        <w:rPr>
          <w:rFonts w:ascii="Times New Roman" w:hAnsi="Times New Roman" w:cs="Times New Roman"/>
          <w:sz w:val="20"/>
          <w:szCs w:val="20"/>
          <w:lang w:val="el-GR"/>
        </w:rPr>
        <w:t xml:space="preserve">Η διαθεσιμότητα διαφορετικών θεραπευτικών επιλογών με ειδικά προφίλ αποτελεσματικότητας και ασφάλειας επιβάλλει τον προσεκτικό σχεδιασμό της θεραπευτικής επιλογής με βάση εύλογα προσιτούς στόχους προκειμένου να επιτευχθεί το καλύτερο κλινικό αποτέλεσμα ελαχιστοποιώντας τους κινδύνους </w:t>
      </w:r>
      <w:proofErr w:type="spellStart"/>
      <w:r w:rsidRPr="003D7B1C">
        <w:rPr>
          <w:rFonts w:ascii="Times New Roman" w:hAnsi="Times New Roman" w:cs="Times New Roman"/>
          <w:sz w:val="20"/>
          <w:szCs w:val="20"/>
          <w:lang w:val="el-GR"/>
        </w:rPr>
        <w:t>ιατρογενούς</w:t>
      </w:r>
      <w:proofErr w:type="spellEnd"/>
      <w:r w:rsidRPr="003D7B1C">
        <w:rPr>
          <w:rFonts w:ascii="Times New Roman" w:hAnsi="Times New Roman" w:cs="Times New Roman"/>
          <w:sz w:val="20"/>
          <w:szCs w:val="20"/>
          <w:lang w:val="el-GR"/>
        </w:rPr>
        <w:t xml:space="preserve"> νοσηρότητας ή/και θνησιμότητας. Η επιλογή της θεραπείας θα έπρεπε να λαμβάνει υπόψη εκτός από την χρονολογική ηλικία, τα πιθανά </w:t>
      </w:r>
      <w:proofErr w:type="spellStart"/>
      <w:r w:rsidRPr="003D7B1C">
        <w:rPr>
          <w:rFonts w:ascii="Times New Roman" w:hAnsi="Times New Roman" w:cs="Times New Roman"/>
          <w:sz w:val="20"/>
          <w:szCs w:val="20"/>
          <w:lang w:val="el-GR"/>
        </w:rPr>
        <w:t>συνοδά</w:t>
      </w:r>
      <w:proofErr w:type="spellEnd"/>
      <w:r w:rsidRPr="003D7B1C">
        <w:rPr>
          <w:rFonts w:ascii="Times New Roman" w:hAnsi="Times New Roman" w:cs="Times New Roman"/>
          <w:sz w:val="20"/>
          <w:szCs w:val="20"/>
          <w:lang w:val="el-GR"/>
        </w:rPr>
        <w:t xml:space="preserve"> νοσήματα, καθώς και τη βιολογική ηλικία του ασθενούς. Μέσω της εκτίμησης της </w:t>
      </w:r>
      <w:proofErr w:type="spellStart"/>
      <w:r w:rsidRPr="003D7B1C">
        <w:rPr>
          <w:rFonts w:ascii="Times New Roman" w:hAnsi="Times New Roman" w:cs="Times New Roman"/>
          <w:sz w:val="20"/>
          <w:szCs w:val="20"/>
          <w:lang w:val="el-GR"/>
        </w:rPr>
        <w:t>συννοσηρότητας</w:t>
      </w:r>
      <w:proofErr w:type="spellEnd"/>
      <w:r w:rsidRPr="003D7B1C">
        <w:rPr>
          <w:rFonts w:ascii="Times New Roman" w:hAnsi="Times New Roman" w:cs="Times New Roman"/>
          <w:sz w:val="20"/>
          <w:szCs w:val="20"/>
          <w:lang w:val="el-GR"/>
        </w:rPr>
        <w:t>, της λειτουργικής και θρεπτικής κατάστασης και της πιθανής παρουσίας γηριατρικού συνδρόμου προσδιορίζονται τρεις κατηγορίες ασθενών: οι κατάλληλοι ασθενείς (</w:t>
      </w:r>
      <w:proofErr w:type="spellStart"/>
      <w:r w:rsidRPr="003D7B1C">
        <w:rPr>
          <w:rFonts w:ascii="Times New Roman" w:hAnsi="Times New Roman" w:cs="Times New Roman"/>
          <w:sz w:val="20"/>
          <w:szCs w:val="20"/>
          <w:lang w:val="el-GR"/>
        </w:rPr>
        <w:t>fit</w:t>
      </w:r>
      <w:proofErr w:type="spellEnd"/>
      <w:r w:rsidRPr="003D7B1C">
        <w:rPr>
          <w:rFonts w:ascii="Times New Roman" w:hAnsi="Times New Roman" w:cs="Times New Roman"/>
          <w:sz w:val="20"/>
          <w:szCs w:val="20"/>
          <w:lang w:val="el-GR"/>
        </w:rPr>
        <w:t xml:space="preserve"> – ασθενείς με καλή φυσική κατάσταση), οι μη κατάλληλοι ασθενείς (</w:t>
      </w:r>
      <w:proofErr w:type="spellStart"/>
      <w:r w:rsidRPr="003D7B1C">
        <w:rPr>
          <w:rFonts w:ascii="Times New Roman" w:hAnsi="Times New Roman" w:cs="Times New Roman"/>
          <w:sz w:val="20"/>
          <w:szCs w:val="20"/>
          <w:lang w:val="el-GR"/>
        </w:rPr>
        <w:t>unfit</w:t>
      </w:r>
      <w:proofErr w:type="spellEnd"/>
      <w:r w:rsidRPr="003D7B1C">
        <w:rPr>
          <w:rFonts w:ascii="Times New Roman" w:hAnsi="Times New Roman" w:cs="Times New Roman"/>
          <w:sz w:val="20"/>
          <w:szCs w:val="20"/>
          <w:lang w:val="el-GR"/>
        </w:rPr>
        <w:t xml:space="preserve"> – ασθενείς με κακή φυσική κατάσταση) και οι ευπαθείς (</w:t>
      </w:r>
      <w:proofErr w:type="spellStart"/>
      <w:r w:rsidRPr="003D7B1C">
        <w:rPr>
          <w:rFonts w:ascii="Times New Roman" w:hAnsi="Times New Roman" w:cs="Times New Roman"/>
          <w:sz w:val="20"/>
          <w:szCs w:val="20"/>
          <w:lang w:val="el-GR"/>
        </w:rPr>
        <w:t>frail</w:t>
      </w:r>
      <w:proofErr w:type="spellEnd"/>
      <w:r w:rsidRPr="003D7B1C">
        <w:rPr>
          <w:rFonts w:ascii="Times New Roman" w:hAnsi="Times New Roman" w:cs="Times New Roman"/>
          <w:sz w:val="20"/>
          <w:szCs w:val="20"/>
          <w:lang w:val="el-GR"/>
        </w:rPr>
        <w:t>) ασθενείς. Κάθε ομάδα αντιμετω</w:t>
      </w:r>
      <w:r>
        <w:rPr>
          <w:rFonts w:ascii="Times New Roman" w:hAnsi="Times New Roman" w:cs="Times New Roman"/>
          <w:sz w:val="20"/>
          <w:szCs w:val="20"/>
          <w:lang w:val="el-GR"/>
        </w:rPr>
        <w:t>πίζεται με διαφορετικό τρόπο</w:t>
      </w:r>
      <w:r w:rsidR="00B34559">
        <w:rPr>
          <w:rFonts w:ascii="Times New Roman" w:eastAsia="Times New Roman" w:hAnsi="Times New Roman" w:cs="Times New Roman"/>
          <w:sz w:val="20"/>
          <w:szCs w:val="20"/>
          <w:vertAlign w:val="superscript"/>
          <w:lang w:val="el-GR"/>
        </w:rPr>
        <w:t>11</w:t>
      </w:r>
      <w:r>
        <w:rPr>
          <w:rFonts w:ascii="Times New Roman" w:hAnsi="Times New Roman" w:cs="Times New Roman"/>
          <w:sz w:val="20"/>
          <w:szCs w:val="20"/>
          <w:lang w:val="el-GR"/>
        </w:rPr>
        <w:t>.</w:t>
      </w:r>
    </w:p>
    <w:p w:rsidR="003D7B1C" w:rsidRPr="003D7B1C" w:rsidRDefault="003D7B1C" w:rsidP="003D7B1C">
      <w:pPr>
        <w:rPr>
          <w:rFonts w:ascii="Times New Roman" w:hAnsi="Times New Roman" w:cs="Times New Roman"/>
          <w:sz w:val="20"/>
          <w:szCs w:val="20"/>
          <w:lang w:val="el-GR"/>
        </w:rPr>
      </w:pPr>
      <w:r w:rsidRPr="003D7B1C">
        <w:rPr>
          <w:rFonts w:ascii="Times New Roman" w:hAnsi="Times New Roman" w:cs="Times New Roman"/>
          <w:sz w:val="20"/>
          <w:szCs w:val="20"/>
          <w:lang w:val="el-GR"/>
        </w:rPr>
        <w:t xml:space="preserve">Η Χρόνια Λεμφοκυτταρική Λευχαιμία (ΧΛΛ) αντιμετωπίζεται με χημειοθεραπεία. Στα ευρύτερα χρησιμοποιούμενα φάρμακα περιλαμβάνονται τα ανάλογα των </w:t>
      </w:r>
      <w:proofErr w:type="spellStart"/>
      <w:r w:rsidRPr="003D7B1C">
        <w:rPr>
          <w:rFonts w:ascii="Times New Roman" w:hAnsi="Times New Roman" w:cs="Times New Roman"/>
          <w:sz w:val="20"/>
          <w:szCs w:val="20"/>
          <w:lang w:val="el-GR"/>
        </w:rPr>
        <w:t>πουρινών</w:t>
      </w:r>
      <w:proofErr w:type="spellEnd"/>
      <w:r w:rsidRPr="003D7B1C">
        <w:rPr>
          <w:rFonts w:ascii="Times New Roman" w:hAnsi="Times New Roman" w:cs="Times New Roman"/>
          <w:sz w:val="20"/>
          <w:szCs w:val="20"/>
          <w:lang w:val="el-GR"/>
        </w:rPr>
        <w:t xml:space="preserve">, αλλά και </w:t>
      </w:r>
      <w:proofErr w:type="spellStart"/>
      <w:r w:rsidRPr="003D7B1C">
        <w:rPr>
          <w:rFonts w:ascii="Times New Roman" w:hAnsi="Times New Roman" w:cs="Times New Roman"/>
          <w:sz w:val="20"/>
          <w:szCs w:val="20"/>
          <w:lang w:val="el-GR"/>
        </w:rPr>
        <w:t>αλκυλιωτικοί</w:t>
      </w:r>
      <w:proofErr w:type="spellEnd"/>
      <w:r w:rsidRPr="003D7B1C">
        <w:rPr>
          <w:rFonts w:ascii="Times New Roman" w:hAnsi="Times New Roman" w:cs="Times New Roman"/>
          <w:sz w:val="20"/>
          <w:szCs w:val="20"/>
          <w:lang w:val="el-GR"/>
        </w:rPr>
        <w:t xml:space="preserve"> παράγοντες ή </w:t>
      </w:r>
      <w:proofErr w:type="spellStart"/>
      <w:r w:rsidRPr="003D7B1C">
        <w:rPr>
          <w:rFonts w:ascii="Times New Roman" w:hAnsi="Times New Roman" w:cs="Times New Roman"/>
          <w:sz w:val="20"/>
          <w:szCs w:val="20"/>
          <w:lang w:val="el-GR"/>
        </w:rPr>
        <w:t>κορτικοστεροειδή</w:t>
      </w:r>
      <w:proofErr w:type="spellEnd"/>
      <w:r w:rsidRPr="003D7B1C">
        <w:rPr>
          <w:rFonts w:ascii="Times New Roman" w:hAnsi="Times New Roman" w:cs="Times New Roman"/>
          <w:sz w:val="20"/>
          <w:szCs w:val="20"/>
          <w:lang w:val="el-GR"/>
        </w:rPr>
        <w:t xml:space="preserve"> ή άλλα φάρμακα. Ωστόσο οι εντατικές χημειοθεραπείες δεν χορηγούνται σε όλους τους ασθενείς, καθώς η πλειοψηφία των ασθενών είναι προχωρημένης ηλικίας και δεν θα μπορούσαν να αντέξουν την τοξικότητα αυτών των θεραπειών. Επίσης πολλοί ασθενείς μπορούν να επιβιώσουν επί μακρό</w:t>
      </w:r>
      <w:r w:rsidR="00CD588C">
        <w:rPr>
          <w:rFonts w:ascii="Times New Roman" w:hAnsi="Times New Roman" w:cs="Times New Roman"/>
          <w:sz w:val="20"/>
          <w:szCs w:val="20"/>
          <w:lang w:val="el-GR"/>
        </w:rPr>
        <w:t>ν</w:t>
      </w:r>
      <w:r w:rsidRPr="003D7B1C">
        <w:rPr>
          <w:rFonts w:ascii="Times New Roman" w:hAnsi="Times New Roman" w:cs="Times New Roman"/>
          <w:sz w:val="20"/>
          <w:szCs w:val="20"/>
          <w:lang w:val="el-GR"/>
        </w:rPr>
        <w:t xml:space="preserve"> και με λιγότερο επι</w:t>
      </w:r>
      <w:r>
        <w:rPr>
          <w:rFonts w:ascii="Times New Roman" w:hAnsi="Times New Roman" w:cs="Times New Roman"/>
          <w:sz w:val="20"/>
          <w:szCs w:val="20"/>
          <w:lang w:val="el-GR"/>
        </w:rPr>
        <w:t>θετικές θεραπείες</w:t>
      </w:r>
      <w:r w:rsidR="00B34559">
        <w:rPr>
          <w:rFonts w:ascii="Times New Roman" w:eastAsia="Times New Roman" w:hAnsi="Times New Roman" w:cs="Times New Roman"/>
          <w:sz w:val="20"/>
          <w:szCs w:val="20"/>
          <w:vertAlign w:val="superscript"/>
          <w:lang w:val="el-GR"/>
        </w:rPr>
        <w:t>11</w:t>
      </w:r>
      <w:r>
        <w:rPr>
          <w:rFonts w:ascii="Times New Roman" w:hAnsi="Times New Roman" w:cs="Times New Roman"/>
          <w:sz w:val="20"/>
          <w:szCs w:val="20"/>
          <w:lang w:val="el-GR"/>
        </w:rPr>
        <w:t>.</w:t>
      </w:r>
    </w:p>
    <w:p w:rsidR="003D7B1C" w:rsidRPr="003D7B1C" w:rsidRDefault="003D7B1C" w:rsidP="003D7B1C">
      <w:pPr>
        <w:rPr>
          <w:rFonts w:ascii="Times New Roman" w:hAnsi="Times New Roman" w:cs="Times New Roman"/>
          <w:sz w:val="20"/>
          <w:szCs w:val="20"/>
          <w:lang w:val="el-GR"/>
        </w:rPr>
      </w:pPr>
      <w:r w:rsidRPr="003D7B1C">
        <w:rPr>
          <w:rFonts w:ascii="Times New Roman" w:hAnsi="Times New Roman" w:cs="Times New Roman"/>
          <w:sz w:val="20"/>
          <w:szCs w:val="20"/>
          <w:lang w:val="el-GR"/>
        </w:rPr>
        <w:t xml:space="preserve">Ορισμένες κατηγορίες ασθενών, </w:t>
      </w:r>
      <w:r w:rsidR="00CD588C">
        <w:rPr>
          <w:rFonts w:ascii="Times New Roman" w:hAnsi="Times New Roman" w:cs="Times New Roman"/>
          <w:sz w:val="20"/>
          <w:szCs w:val="20"/>
          <w:lang w:val="el-GR"/>
        </w:rPr>
        <w:t>όπως είναι για παράδειγμα οι νεό</w:t>
      </w:r>
      <w:r w:rsidRPr="003D7B1C">
        <w:rPr>
          <w:rFonts w:ascii="Times New Roman" w:hAnsi="Times New Roman" w:cs="Times New Roman"/>
          <w:sz w:val="20"/>
          <w:szCs w:val="20"/>
          <w:lang w:val="el-GR"/>
        </w:rPr>
        <w:t>τεροι ασθενείς και οι ασθενείς που δεν ανταποκρίνονται στις θεραπείες, μπορούν να υποβληθούν σε μεταμόσχευση μυελού</w:t>
      </w:r>
      <w:r w:rsidR="00CD588C" w:rsidRPr="00CD588C">
        <w:rPr>
          <w:rFonts w:ascii="Times New Roman" w:hAnsi="Times New Roman" w:cs="Times New Roman"/>
          <w:sz w:val="20"/>
          <w:szCs w:val="20"/>
          <w:lang w:val="el-GR"/>
        </w:rPr>
        <w:t xml:space="preserve">. </w:t>
      </w:r>
      <w:r w:rsidRPr="003D7B1C">
        <w:rPr>
          <w:rFonts w:ascii="Times New Roman" w:hAnsi="Times New Roman" w:cs="Times New Roman"/>
          <w:sz w:val="20"/>
          <w:szCs w:val="20"/>
          <w:lang w:val="el-GR"/>
        </w:rPr>
        <w:t xml:space="preserve">Τα τελευταία χρόνια εισήλθαν στην αγορά διάφορα </w:t>
      </w:r>
      <w:proofErr w:type="spellStart"/>
      <w:r w:rsidRPr="003D7B1C">
        <w:rPr>
          <w:rFonts w:ascii="Times New Roman" w:hAnsi="Times New Roman" w:cs="Times New Roman"/>
          <w:sz w:val="20"/>
          <w:szCs w:val="20"/>
          <w:lang w:val="el-GR"/>
        </w:rPr>
        <w:t>μονοκλωνικά</w:t>
      </w:r>
      <w:proofErr w:type="spellEnd"/>
      <w:r w:rsidRPr="003D7B1C">
        <w:rPr>
          <w:rFonts w:ascii="Times New Roman" w:hAnsi="Times New Roman" w:cs="Times New Roman"/>
          <w:sz w:val="20"/>
          <w:szCs w:val="20"/>
          <w:lang w:val="el-GR"/>
        </w:rPr>
        <w:t xml:space="preserve"> αντισώματα, τα οποία χρησιμοποιούνται είτε ως </w:t>
      </w:r>
      <w:proofErr w:type="spellStart"/>
      <w:r w:rsidRPr="003D7B1C">
        <w:rPr>
          <w:rFonts w:ascii="Times New Roman" w:hAnsi="Times New Roman" w:cs="Times New Roman"/>
          <w:sz w:val="20"/>
          <w:szCs w:val="20"/>
          <w:lang w:val="el-GR"/>
        </w:rPr>
        <w:t>μονοθεραπεία</w:t>
      </w:r>
      <w:proofErr w:type="spellEnd"/>
      <w:r w:rsidRPr="003D7B1C">
        <w:rPr>
          <w:rFonts w:ascii="Times New Roman" w:hAnsi="Times New Roman" w:cs="Times New Roman"/>
          <w:sz w:val="20"/>
          <w:szCs w:val="20"/>
          <w:lang w:val="el-GR"/>
        </w:rPr>
        <w:t xml:space="preserve"> είτε σε συνδυασμό με χημειοθεραπεία. Η ανάπτυξη νέων </w:t>
      </w:r>
      <w:proofErr w:type="spellStart"/>
      <w:r w:rsidRPr="003D7B1C">
        <w:rPr>
          <w:rFonts w:ascii="Times New Roman" w:hAnsi="Times New Roman" w:cs="Times New Roman"/>
          <w:sz w:val="20"/>
          <w:szCs w:val="20"/>
          <w:lang w:val="el-GR"/>
        </w:rPr>
        <w:t>μονοκλωνικών</w:t>
      </w:r>
      <w:proofErr w:type="spellEnd"/>
      <w:r w:rsidRPr="003D7B1C">
        <w:rPr>
          <w:rFonts w:ascii="Times New Roman" w:hAnsi="Times New Roman" w:cs="Times New Roman"/>
          <w:sz w:val="20"/>
          <w:szCs w:val="20"/>
          <w:lang w:val="el-GR"/>
        </w:rPr>
        <w:t xml:space="preserve"> αντισωμάτων κατευθύνθηκε προς νέα αντιγόνα ή διαφορετικές περιοχές του ιδίου αντιγόνου ή στη διαμόρφωση αντισωμάτων με τροποποιημένη δομή για τη βελτίωση της εξαρτώμενης από το αντίσωμα κυτταρικής </w:t>
      </w:r>
      <w:proofErr w:type="spellStart"/>
      <w:r w:rsidRPr="003D7B1C">
        <w:rPr>
          <w:rFonts w:ascii="Times New Roman" w:hAnsi="Times New Roman" w:cs="Times New Roman"/>
          <w:sz w:val="20"/>
          <w:szCs w:val="20"/>
          <w:lang w:val="el-GR"/>
        </w:rPr>
        <w:t>κυτταροτοξικότας</w:t>
      </w:r>
      <w:proofErr w:type="spellEnd"/>
      <w:r w:rsidRPr="003D7B1C">
        <w:rPr>
          <w:rFonts w:ascii="Times New Roman" w:hAnsi="Times New Roman" w:cs="Times New Roman"/>
          <w:sz w:val="20"/>
          <w:szCs w:val="20"/>
          <w:lang w:val="el-GR"/>
        </w:rPr>
        <w:t xml:space="preserve"> (</w:t>
      </w:r>
      <w:proofErr w:type="spellStart"/>
      <w:r w:rsidRPr="003D7B1C">
        <w:rPr>
          <w:rFonts w:ascii="Times New Roman" w:hAnsi="Times New Roman" w:cs="Times New Roman"/>
          <w:sz w:val="20"/>
          <w:szCs w:val="20"/>
          <w:lang w:val="el-GR"/>
        </w:rPr>
        <w:t>antibody</w:t>
      </w:r>
      <w:proofErr w:type="spellEnd"/>
      <w:r w:rsidRPr="003D7B1C">
        <w:rPr>
          <w:rFonts w:ascii="Times New Roman" w:hAnsi="Times New Roman" w:cs="Times New Roman"/>
          <w:sz w:val="20"/>
          <w:szCs w:val="20"/>
          <w:lang w:val="el-GR"/>
        </w:rPr>
        <w:t xml:space="preserve">- </w:t>
      </w:r>
      <w:proofErr w:type="spellStart"/>
      <w:r w:rsidRPr="003D7B1C">
        <w:rPr>
          <w:rFonts w:ascii="Times New Roman" w:hAnsi="Times New Roman" w:cs="Times New Roman"/>
          <w:sz w:val="20"/>
          <w:szCs w:val="20"/>
          <w:lang w:val="el-GR"/>
        </w:rPr>
        <w:t>dependent</w:t>
      </w:r>
      <w:proofErr w:type="spellEnd"/>
      <w:r w:rsidRPr="003D7B1C">
        <w:rPr>
          <w:rFonts w:ascii="Times New Roman" w:hAnsi="Times New Roman" w:cs="Times New Roman"/>
          <w:sz w:val="20"/>
          <w:szCs w:val="20"/>
          <w:lang w:val="el-GR"/>
        </w:rPr>
        <w:t xml:space="preserve"> </w:t>
      </w:r>
      <w:proofErr w:type="spellStart"/>
      <w:r w:rsidRPr="003D7B1C">
        <w:rPr>
          <w:rFonts w:ascii="Times New Roman" w:hAnsi="Times New Roman" w:cs="Times New Roman"/>
          <w:sz w:val="20"/>
          <w:szCs w:val="20"/>
          <w:lang w:val="el-GR"/>
        </w:rPr>
        <w:t>cell</w:t>
      </w:r>
      <w:proofErr w:type="spellEnd"/>
      <w:r w:rsidRPr="003D7B1C">
        <w:rPr>
          <w:rFonts w:ascii="Times New Roman" w:hAnsi="Times New Roman" w:cs="Times New Roman"/>
          <w:sz w:val="20"/>
          <w:szCs w:val="20"/>
          <w:lang w:val="el-GR"/>
        </w:rPr>
        <w:t>-</w:t>
      </w:r>
      <w:proofErr w:type="spellStart"/>
      <w:r w:rsidRPr="003D7B1C">
        <w:rPr>
          <w:rFonts w:ascii="Times New Roman" w:hAnsi="Times New Roman" w:cs="Times New Roman"/>
          <w:sz w:val="20"/>
          <w:szCs w:val="20"/>
          <w:lang w:val="el-GR"/>
        </w:rPr>
        <w:t>mediated</w:t>
      </w:r>
      <w:proofErr w:type="spellEnd"/>
      <w:r w:rsidRPr="003D7B1C">
        <w:rPr>
          <w:rFonts w:ascii="Times New Roman" w:hAnsi="Times New Roman" w:cs="Times New Roman"/>
          <w:sz w:val="20"/>
          <w:szCs w:val="20"/>
          <w:lang w:val="el-GR"/>
        </w:rPr>
        <w:t xml:space="preserve"> </w:t>
      </w:r>
      <w:proofErr w:type="spellStart"/>
      <w:r w:rsidRPr="003D7B1C">
        <w:rPr>
          <w:rFonts w:ascii="Times New Roman" w:hAnsi="Times New Roman" w:cs="Times New Roman"/>
          <w:sz w:val="20"/>
          <w:szCs w:val="20"/>
          <w:lang w:val="el-GR"/>
        </w:rPr>
        <w:t>cytotoxicity</w:t>
      </w:r>
      <w:proofErr w:type="spellEnd"/>
      <w:r w:rsidRPr="003D7B1C">
        <w:rPr>
          <w:rFonts w:ascii="Times New Roman" w:hAnsi="Times New Roman" w:cs="Times New Roman"/>
          <w:sz w:val="20"/>
          <w:szCs w:val="20"/>
          <w:lang w:val="el-GR"/>
        </w:rPr>
        <w:t xml:space="preserve">, ADCC) και της ικανότητας να προκαλούν </w:t>
      </w:r>
      <w:r>
        <w:rPr>
          <w:rFonts w:ascii="Times New Roman" w:hAnsi="Times New Roman" w:cs="Times New Roman"/>
          <w:sz w:val="20"/>
          <w:szCs w:val="20"/>
          <w:lang w:val="el-GR"/>
        </w:rPr>
        <w:t>θάνατο των καρκινικών κυττάρων.</w:t>
      </w:r>
    </w:p>
    <w:p w:rsidR="00797E19" w:rsidRPr="003D7B1C" w:rsidRDefault="003D7B1C" w:rsidP="003D7B1C">
      <w:pPr>
        <w:rPr>
          <w:rFonts w:ascii="Times New Roman" w:hAnsi="Times New Roman" w:cs="Times New Roman"/>
          <w:sz w:val="20"/>
          <w:szCs w:val="20"/>
          <w:lang w:val="el-GR"/>
        </w:rPr>
      </w:pPr>
      <w:r w:rsidRPr="003D7B1C">
        <w:rPr>
          <w:rFonts w:ascii="Times New Roman" w:hAnsi="Times New Roman" w:cs="Times New Roman"/>
          <w:sz w:val="20"/>
          <w:szCs w:val="20"/>
          <w:lang w:val="el-GR"/>
        </w:rPr>
        <w:t xml:space="preserve">Η ΧΛΛ ακόμα και σήμερα θεωρείται ανίατη νόσος με τη συμβατική θεραπεία και οι ασθενείς εμφανίζουν με την πάροδο του χρόνου επαναλαμβανόμενες υποτροπές της νόσου. Οι υποτροπές είναι συχνές και συχνά δύσκολες στη θεραπεία, γιατί είναι λιγότερο ευαίσθητες στα </w:t>
      </w:r>
      <w:proofErr w:type="spellStart"/>
      <w:r w:rsidRPr="003D7B1C">
        <w:rPr>
          <w:rFonts w:ascii="Times New Roman" w:hAnsi="Times New Roman" w:cs="Times New Roman"/>
          <w:sz w:val="20"/>
          <w:szCs w:val="20"/>
          <w:lang w:val="el-GR"/>
        </w:rPr>
        <w:t>χημειοθεραπευτικά</w:t>
      </w:r>
      <w:proofErr w:type="spellEnd"/>
      <w:r w:rsidRPr="003D7B1C">
        <w:rPr>
          <w:rFonts w:ascii="Times New Roman" w:hAnsi="Times New Roman" w:cs="Times New Roman"/>
          <w:sz w:val="20"/>
          <w:szCs w:val="20"/>
          <w:lang w:val="el-GR"/>
        </w:rPr>
        <w:t xml:space="preserve"> σχήματα και απαιτούν τροποποίηση της θεραπείας. Ωστόσο, η νόσος εξελίσσεται βραδέως και οι ασθενείς με πρώιμου σταδίου νόσο σε σταθερή κατάσταση δεν υποβάλλονται σε θεραπεία.</w:t>
      </w:r>
    </w:p>
    <w:p w:rsidR="00EE71BB" w:rsidRPr="003D7B1C" w:rsidRDefault="00EE71BB" w:rsidP="00EE71BB">
      <w:pPr>
        <w:rPr>
          <w:rFonts w:ascii="Times New Roman" w:hAnsi="Times New Roman" w:cs="Times New Roman"/>
          <w:sz w:val="20"/>
          <w:szCs w:val="20"/>
          <w:lang w:val="el-GR"/>
        </w:rPr>
      </w:pPr>
    </w:p>
    <w:p w:rsidR="003D7B1C" w:rsidRPr="003D7B1C" w:rsidRDefault="003D7B1C" w:rsidP="003D7B1C">
      <w:pPr>
        <w:rPr>
          <w:rFonts w:ascii="Times New Roman" w:hAnsi="Times New Roman" w:cs="Times New Roman"/>
          <w:sz w:val="16"/>
          <w:szCs w:val="20"/>
          <w:lang w:val="el-GR"/>
        </w:rPr>
      </w:pPr>
      <w:r w:rsidRPr="003D7B1C">
        <w:rPr>
          <w:rFonts w:ascii="Times New Roman" w:hAnsi="Times New Roman" w:cs="Times New Roman"/>
          <w:sz w:val="16"/>
          <w:szCs w:val="20"/>
          <w:lang w:val="el-GR"/>
        </w:rPr>
        <w:t>Βιβλιογραφία</w:t>
      </w:r>
    </w:p>
    <w:p w:rsidR="003D7B1C" w:rsidRPr="003D7B1C" w:rsidRDefault="003D7B1C" w:rsidP="003D7B1C">
      <w:pPr>
        <w:rPr>
          <w:rFonts w:ascii="Times New Roman" w:hAnsi="Times New Roman" w:cs="Times New Roman"/>
          <w:sz w:val="16"/>
          <w:szCs w:val="20"/>
        </w:rPr>
      </w:pPr>
      <w:r w:rsidRPr="003D7B1C">
        <w:rPr>
          <w:rFonts w:ascii="Times New Roman" w:hAnsi="Times New Roman" w:cs="Times New Roman"/>
          <w:sz w:val="16"/>
          <w:szCs w:val="20"/>
          <w:lang w:val="el-GR"/>
        </w:rPr>
        <w:t xml:space="preserve">1.Οικονομόπουλος Θ. Κακοήθη αιματολογικά νοσήματα. </w:t>
      </w:r>
      <w:r w:rsidRPr="003D7B1C">
        <w:rPr>
          <w:rFonts w:ascii="Times New Roman" w:hAnsi="Times New Roman" w:cs="Times New Roman"/>
          <w:sz w:val="16"/>
          <w:szCs w:val="20"/>
        </w:rPr>
        <w:t xml:space="preserve">2009 </w:t>
      </w:r>
      <w:r w:rsidRPr="003D7B1C">
        <w:rPr>
          <w:rFonts w:ascii="Times New Roman" w:hAnsi="Times New Roman" w:cs="Times New Roman"/>
          <w:sz w:val="16"/>
          <w:szCs w:val="20"/>
          <w:lang w:val="el-GR"/>
        </w:rPr>
        <w:t>Εκδόσεις</w:t>
      </w:r>
      <w:r w:rsidRPr="003D7B1C">
        <w:rPr>
          <w:rFonts w:ascii="Times New Roman" w:hAnsi="Times New Roman" w:cs="Times New Roman"/>
          <w:sz w:val="16"/>
          <w:szCs w:val="20"/>
        </w:rPr>
        <w:t xml:space="preserve"> </w:t>
      </w:r>
      <w:r w:rsidRPr="003D7B1C">
        <w:rPr>
          <w:rFonts w:ascii="Times New Roman" w:hAnsi="Times New Roman" w:cs="Times New Roman"/>
          <w:sz w:val="16"/>
          <w:szCs w:val="20"/>
          <w:lang w:val="el-GR"/>
        </w:rPr>
        <w:t>Π</w:t>
      </w:r>
      <w:r w:rsidRPr="003D7B1C">
        <w:rPr>
          <w:rFonts w:ascii="Times New Roman" w:hAnsi="Times New Roman" w:cs="Times New Roman"/>
          <w:sz w:val="16"/>
          <w:szCs w:val="20"/>
        </w:rPr>
        <w:t>.</w:t>
      </w:r>
      <w:r w:rsidRPr="003D7B1C">
        <w:rPr>
          <w:rFonts w:ascii="Times New Roman" w:hAnsi="Times New Roman" w:cs="Times New Roman"/>
          <w:sz w:val="16"/>
          <w:szCs w:val="20"/>
          <w:lang w:val="el-GR"/>
        </w:rPr>
        <w:t>Χ</w:t>
      </w:r>
      <w:r w:rsidRPr="003D7B1C">
        <w:rPr>
          <w:rFonts w:ascii="Times New Roman" w:hAnsi="Times New Roman" w:cs="Times New Roman"/>
          <w:sz w:val="16"/>
          <w:szCs w:val="20"/>
        </w:rPr>
        <w:t xml:space="preserve"> </w:t>
      </w:r>
      <w:r w:rsidRPr="003D7B1C">
        <w:rPr>
          <w:rFonts w:ascii="Times New Roman" w:hAnsi="Times New Roman" w:cs="Times New Roman"/>
          <w:sz w:val="16"/>
          <w:szCs w:val="20"/>
          <w:lang w:val="el-GR"/>
        </w:rPr>
        <w:t>ΠΑΣΧΑΛΙΔΗΣ</w:t>
      </w:r>
      <w:r w:rsidRPr="003D7B1C">
        <w:rPr>
          <w:rFonts w:ascii="Times New Roman" w:hAnsi="Times New Roman" w:cs="Times New Roman"/>
          <w:sz w:val="16"/>
          <w:szCs w:val="20"/>
        </w:rPr>
        <w:t xml:space="preserve"> </w:t>
      </w:r>
      <w:r w:rsidRPr="003D7B1C">
        <w:rPr>
          <w:rFonts w:ascii="Times New Roman" w:hAnsi="Times New Roman" w:cs="Times New Roman"/>
          <w:sz w:val="16"/>
          <w:szCs w:val="20"/>
          <w:lang w:val="el-GR"/>
        </w:rPr>
        <w:t>ΕΠΕ</w:t>
      </w:r>
    </w:p>
    <w:p w:rsidR="003D7B1C" w:rsidRPr="003D7B1C" w:rsidRDefault="003D7B1C" w:rsidP="003D7B1C">
      <w:pPr>
        <w:rPr>
          <w:rFonts w:ascii="Times New Roman" w:hAnsi="Times New Roman" w:cs="Times New Roman"/>
          <w:sz w:val="16"/>
          <w:szCs w:val="20"/>
        </w:rPr>
      </w:pPr>
      <w:proofErr w:type="gramStart"/>
      <w:r w:rsidRPr="003D7B1C">
        <w:rPr>
          <w:rFonts w:ascii="Times New Roman" w:hAnsi="Times New Roman" w:cs="Times New Roman"/>
          <w:sz w:val="16"/>
          <w:szCs w:val="20"/>
        </w:rPr>
        <w:t>2.Diehl</w:t>
      </w:r>
      <w:proofErr w:type="gramEnd"/>
      <w:r w:rsidRPr="003D7B1C">
        <w:rPr>
          <w:rFonts w:ascii="Times New Roman" w:hAnsi="Times New Roman" w:cs="Times New Roman"/>
          <w:sz w:val="16"/>
          <w:szCs w:val="20"/>
        </w:rPr>
        <w:t xml:space="preserve"> LF, et al., The National Cancer Data Base report on age, gender, treatment, and outcomes of patients with chronic lymphocytic leukemia. Cancer 1999, 86:2684–2692</w:t>
      </w:r>
    </w:p>
    <w:p w:rsidR="003D7B1C" w:rsidRPr="003D7B1C" w:rsidRDefault="003D7B1C" w:rsidP="003D7B1C">
      <w:pPr>
        <w:rPr>
          <w:rFonts w:ascii="Times New Roman" w:hAnsi="Times New Roman" w:cs="Times New Roman"/>
          <w:sz w:val="16"/>
          <w:szCs w:val="20"/>
        </w:rPr>
      </w:pPr>
      <w:proofErr w:type="gramStart"/>
      <w:r w:rsidRPr="003D7B1C">
        <w:rPr>
          <w:rFonts w:ascii="Times New Roman" w:hAnsi="Times New Roman" w:cs="Times New Roman"/>
          <w:sz w:val="16"/>
          <w:szCs w:val="20"/>
        </w:rPr>
        <w:t>3.Ishibe</w:t>
      </w:r>
      <w:proofErr w:type="gramEnd"/>
      <w:r w:rsidRPr="003D7B1C">
        <w:rPr>
          <w:rFonts w:ascii="Times New Roman" w:hAnsi="Times New Roman" w:cs="Times New Roman"/>
          <w:sz w:val="16"/>
          <w:szCs w:val="20"/>
        </w:rPr>
        <w:t xml:space="preserve"> N, et al . </w:t>
      </w:r>
      <w:proofErr w:type="gramStart"/>
      <w:r w:rsidRPr="003D7B1C">
        <w:rPr>
          <w:rFonts w:ascii="Times New Roman" w:hAnsi="Times New Roman" w:cs="Times New Roman"/>
          <w:sz w:val="16"/>
          <w:szCs w:val="20"/>
        </w:rPr>
        <w:t>Clinical characteristics of familial B-CLL in the National Cancer Institute Familial Registry.</w:t>
      </w:r>
      <w:proofErr w:type="gramEnd"/>
      <w:r w:rsidRPr="003D7B1C">
        <w:rPr>
          <w:rFonts w:ascii="Times New Roman" w:hAnsi="Times New Roman" w:cs="Times New Roman"/>
          <w:sz w:val="16"/>
          <w:szCs w:val="20"/>
        </w:rPr>
        <w:t xml:space="preserve"> </w:t>
      </w:r>
      <w:proofErr w:type="spellStart"/>
      <w:r w:rsidRPr="003D7B1C">
        <w:rPr>
          <w:rFonts w:ascii="Times New Roman" w:hAnsi="Times New Roman" w:cs="Times New Roman"/>
          <w:sz w:val="16"/>
          <w:szCs w:val="20"/>
        </w:rPr>
        <w:t>Leuk</w:t>
      </w:r>
      <w:proofErr w:type="spellEnd"/>
      <w:r w:rsidRPr="003D7B1C">
        <w:rPr>
          <w:rFonts w:ascii="Times New Roman" w:hAnsi="Times New Roman" w:cs="Times New Roman"/>
          <w:sz w:val="16"/>
          <w:szCs w:val="20"/>
        </w:rPr>
        <w:t xml:space="preserve"> Lymphoma 2001, 42:99–108</w:t>
      </w:r>
    </w:p>
    <w:p w:rsidR="003D7B1C" w:rsidRPr="003D7B1C" w:rsidRDefault="003D7B1C" w:rsidP="003D7B1C">
      <w:pPr>
        <w:rPr>
          <w:rFonts w:ascii="Times New Roman" w:hAnsi="Times New Roman" w:cs="Times New Roman"/>
          <w:sz w:val="16"/>
          <w:szCs w:val="20"/>
        </w:rPr>
      </w:pPr>
      <w:proofErr w:type="gramStart"/>
      <w:r w:rsidRPr="003D7B1C">
        <w:rPr>
          <w:rFonts w:ascii="Times New Roman" w:hAnsi="Times New Roman" w:cs="Times New Roman"/>
          <w:sz w:val="16"/>
          <w:szCs w:val="20"/>
        </w:rPr>
        <w:t>4.Campo</w:t>
      </w:r>
      <w:proofErr w:type="gramEnd"/>
      <w:r w:rsidRPr="003D7B1C">
        <w:rPr>
          <w:rFonts w:ascii="Times New Roman" w:hAnsi="Times New Roman" w:cs="Times New Roman"/>
          <w:sz w:val="16"/>
          <w:szCs w:val="20"/>
        </w:rPr>
        <w:t xml:space="preserve"> E et al., The 2008WHO classification of lymphoid neoplasms and beyond: evolving concepts and practical applications. Blood 2011, 117(19): 5019</w:t>
      </w:r>
    </w:p>
    <w:p w:rsidR="003D7B1C" w:rsidRPr="003D7B1C" w:rsidRDefault="00C8251F" w:rsidP="003D7B1C">
      <w:pPr>
        <w:rPr>
          <w:rFonts w:ascii="Times New Roman" w:hAnsi="Times New Roman" w:cs="Times New Roman"/>
          <w:sz w:val="16"/>
          <w:szCs w:val="20"/>
        </w:rPr>
      </w:pPr>
      <w:proofErr w:type="gramStart"/>
      <w:r w:rsidRPr="00C8251F">
        <w:rPr>
          <w:rFonts w:ascii="Times New Roman" w:hAnsi="Times New Roman" w:cs="Times New Roman"/>
          <w:sz w:val="16"/>
          <w:szCs w:val="20"/>
        </w:rPr>
        <w:t>5</w:t>
      </w:r>
      <w:r w:rsidR="003D7B1C" w:rsidRPr="003D7B1C">
        <w:rPr>
          <w:rFonts w:ascii="Times New Roman" w:hAnsi="Times New Roman" w:cs="Times New Roman"/>
          <w:sz w:val="16"/>
          <w:szCs w:val="20"/>
        </w:rPr>
        <w:t>.Hamblin</w:t>
      </w:r>
      <w:proofErr w:type="gramEnd"/>
      <w:r w:rsidR="003D7B1C" w:rsidRPr="003D7B1C">
        <w:rPr>
          <w:rFonts w:ascii="Times New Roman" w:hAnsi="Times New Roman" w:cs="Times New Roman"/>
          <w:sz w:val="16"/>
          <w:szCs w:val="20"/>
        </w:rPr>
        <w:t xml:space="preserve"> TJ, et al., Autoimmunity in chronic lymphocytic </w:t>
      </w:r>
      <w:proofErr w:type="spellStart"/>
      <w:r w:rsidR="003D7B1C" w:rsidRPr="003D7B1C">
        <w:rPr>
          <w:rFonts w:ascii="Times New Roman" w:hAnsi="Times New Roman" w:cs="Times New Roman"/>
          <w:sz w:val="16"/>
          <w:szCs w:val="20"/>
        </w:rPr>
        <w:t>leukaemia</w:t>
      </w:r>
      <w:proofErr w:type="spellEnd"/>
      <w:r w:rsidR="003D7B1C" w:rsidRPr="003D7B1C">
        <w:rPr>
          <w:rFonts w:ascii="Times New Roman" w:hAnsi="Times New Roman" w:cs="Times New Roman"/>
          <w:sz w:val="16"/>
          <w:szCs w:val="20"/>
        </w:rPr>
        <w:t xml:space="preserve">. J </w:t>
      </w:r>
      <w:proofErr w:type="spellStart"/>
      <w:r w:rsidR="003D7B1C" w:rsidRPr="003D7B1C">
        <w:rPr>
          <w:rFonts w:ascii="Times New Roman" w:hAnsi="Times New Roman" w:cs="Times New Roman"/>
          <w:sz w:val="16"/>
          <w:szCs w:val="20"/>
        </w:rPr>
        <w:t>Clin</w:t>
      </w:r>
      <w:proofErr w:type="spellEnd"/>
      <w:r w:rsidR="003D7B1C" w:rsidRPr="003D7B1C">
        <w:rPr>
          <w:rFonts w:ascii="Times New Roman" w:hAnsi="Times New Roman" w:cs="Times New Roman"/>
          <w:sz w:val="16"/>
          <w:szCs w:val="20"/>
        </w:rPr>
        <w:t xml:space="preserve"> </w:t>
      </w:r>
      <w:proofErr w:type="spellStart"/>
      <w:r w:rsidR="003D7B1C" w:rsidRPr="003D7B1C">
        <w:rPr>
          <w:rFonts w:ascii="Times New Roman" w:hAnsi="Times New Roman" w:cs="Times New Roman"/>
          <w:sz w:val="16"/>
          <w:szCs w:val="20"/>
        </w:rPr>
        <w:t>Pathol</w:t>
      </w:r>
      <w:proofErr w:type="spellEnd"/>
      <w:r w:rsidR="003D7B1C" w:rsidRPr="003D7B1C">
        <w:rPr>
          <w:rFonts w:ascii="Times New Roman" w:hAnsi="Times New Roman" w:cs="Times New Roman"/>
          <w:sz w:val="16"/>
          <w:szCs w:val="20"/>
        </w:rPr>
        <w:t xml:space="preserve"> 1986, 39:713</w:t>
      </w:r>
    </w:p>
    <w:p w:rsidR="003D7B1C" w:rsidRPr="003D7B1C" w:rsidRDefault="00B34559" w:rsidP="003D7B1C">
      <w:pPr>
        <w:rPr>
          <w:rFonts w:ascii="Times New Roman" w:hAnsi="Times New Roman" w:cs="Times New Roman"/>
          <w:sz w:val="16"/>
          <w:szCs w:val="20"/>
        </w:rPr>
      </w:pPr>
      <w:proofErr w:type="gramStart"/>
      <w:r w:rsidRPr="00B34559">
        <w:rPr>
          <w:rFonts w:ascii="Times New Roman" w:hAnsi="Times New Roman" w:cs="Times New Roman"/>
          <w:sz w:val="16"/>
          <w:szCs w:val="20"/>
        </w:rPr>
        <w:t>6</w:t>
      </w:r>
      <w:r w:rsidR="003D7B1C" w:rsidRPr="003D7B1C">
        <w:rPr>
          <w:rFonts w:ascii="Times New Roman" w:hAnsi="Times New Roman" w:cs="Times New Roman"/>
          <w:sz w:val="16"/>
          <w:szCs w:val="20"/>
        </w:rPr>
        <w:t>.Tzoura</w:t>
      </w:r>
      <w:proofErr w:type="gramEnd"/>
      <w:r w:rsidR="003D7B1C" w:rsidRPr="003D7B1C">
        <w:rPr>
          <w:rFonts w:ascii="Times New Roman" w:hAnsi="Times New Roman" w:cs="Times New Roman"/>
          <w:sz w:val="16"/>
          <w:szCs w:val="20"/>
        </w:rPr>
        <w:t xml:space="preserve"> E and </w:t>
      </w:r>
      <w:proofErr w:type="spellStart"/>
      <w:r w:rsidR="003D7B1C" w:rsidRPr="003D7B1C">
        <w:rPr>
          <w:rFonts w:ascii="Times New Roman" w:hAnsi="Times New Roman" w:cs="Times New Roman"/>
          <w:sz w:val="16"/>
          <w:szCs w:val="20"/>
        </w:rPr>
        <w:t>Roussou</w:t>
      </w:r>
      <w:proofErr w:type="spellEnd"/>
      <w:r w:rsidR="003D7B1C" w:rsidRPr="003D7B1C">
        <w:rPr>
          <w:rFonts w:ascii="Times New Roman" w:hAnsi="Times New Roman" w:cs="Times New Roman"/>
          <w:sz w:val="16"/>
          <w:szCs w:val="20"/>
        </w:rPr>
        <w:t xml:space="preserve"> P. Archives of Hellenic Medicine 2008, 25(1):60-72</w:t>
      </w:r>
    </w:p>
    <w:p w:rsidR="003D7B1C" w:rsidRPr="003D7B1C" w:rsidRDefault="00B34559" w:rsidP="003D7B1C">
      <w:pPr>
        <w:rPr>
          <w:rFonts w:ascii="Times New Roman" w:hAnsi="Times New Roman" w:cs="Times New Roman"/>
          <w:sz w:val="16"/>
          <w:szCs w:val="20"/>
        </w:rPr>
      </w:pPr>
      <w:r w:rsidRPr="00B34559">
        <w:rPr>
          <w:rFonts w:ascii="Times New Roman" w:hAnsi="Times New Roman" w:cs="Times New Roman"/>
          <w:sz w:val="16"/>
          <w:szCs w:val="20"/>
        </w:rPr>
        <w:t>7</w:t>
      </w:r>
      <w:r w:rsidR="003D7B1C" w:rsidRPr="003D7B1C">
        <w:rPr>
          <w:rFonts w:ascii="Times New Roman" w:hAnsi="Times New Roman" w:cs="Times New Roman"/>
          <w:sz w:val="16"/>
          <w:szCs w:val="20"/>
        </w:rPr>
        <w:t xml:space="preserve">.Hallek M et al., Guidelines for the diagnosis and treatment of chronic lymphocytic leukemia: a report from the International Workshop on Chronic Lymphocytic Leukemia updating the National Cancer Institute–Working Group 1996 guidelines. </w:t>
      </w:r>
      <w:proofErr w:type="gramStart"/>
      <w:r w:rsidR="003D7B1C" w:rsidRPr="003D7B1C">
        <w:rPr>
          <w:rFonts w:ascii="Times New Roman" w:hAnsi="Times New Roman" w:cs="Times New Roman"/>
          <w:sz w:val="16"/>
          <w:szCs w:val="20"/>
        </w:rPr>
        <w:t>Blood.</w:t>
      </w:r>
      <w:proofErr w:type="gramEnd"/>
      <w:r w:rsidR="003D7B1C" w:rsidRPr="003D7B1C">
        <w:rPr>
          <w:rFonts w:ascii="Times New Roman" w:hAnsi="Times New Roman" w:cs="Times New Roman"/>
          <w:sz w:val="16"/>
          <w:szCs w:val="20"/>
        </w:rPr>
        <w:t xml:space="preserve"> 2008 Jun 15; 111(12): 5446–5456.</w:t>
      </w:r>
    </w:p>
    <w:p w:rsidR="003D7B1C" w:rsidRPr="003D7B1C" w:rsidRDefault="00B34559" w:rsidP="003D7B1C">
      <w:pPr>
        <w:rPr>
          <w:rFonts w:ascii="Times New Roman" w:hAnsi="Times New Roman" w:cs="Times New Roman"/>
          <w:sz w:val="16"/>
          <w:szCs w:val="20"/>
        </w:rPr>
      </w:pPr>
      <w:proofErr w:type="gramStart"/>
      <w:r w:rsidRPr="00B34559">
        <w:rPr>
          <w:rFonts w:ascii="Times New Roman" w:hAnsi="Times New Roman" w:cs="Times New Roman"/>
          <w:sz w:val="16"/>
          <w:szCs w:val="20"/>
        </w:rPr>
        <w:t>8</w:t>
      </w:r>
      <w:r w:rsidR="003D7B1C" w:rsidRPr="003D7B1C">
        <w:rPr>
          <w:rFonts w:ascii="Times New Roman" w:hAnsi="Times New Roman" w:cs="Times New Roman"/>
          <w:sz w:val="16"/>
          <w:szCs w:val="20"/>
        </w:rPr>
        <w:t>.Molica</w:t>
      </w:r>
      <w:proofErr w:type="gramEnd"/>
      <w:r w:rsidR="003D7B1C" w:rsidRPr="003D7B1C">
        <w:rPr>
          <w:rFonts w:ascii="Times New Roman" w:hAnsi="Times New Roman" w:cs="Times New Roman"/>
          <w:sz w:val="16"/>
          <w:szCs w:val="20"/>
        </w:rPr>
        <w:t xml:space="preserve"> S et al., </w:t>
      </w:r>
      <w:proofErr w:type="spellStart"/>
      <w:r w:rsidR="003D7B1C" w:rsidRPr="003D7B1C">
        <w:rPr>
          <w:rFonts w:ascii="Times New Roman" w:hAnsi="Times New Roman" w:cs="Times New Roman"/>
          <w:sz w:val="16"/>
          <w:szCs w:val="20"/>
        </w:rPr>
        <w:t>Clinicoprognostic</w:t>
      </w:r>
      <w:proofErr w:type="spellEnd"/>
      <w:r w:rsidR="003D7B1C" w:rsidRPr="003D7B1C">
        <w:rPr>
          <w:rFonts w:ascii="Times New Roman" w:hAnsi="Times New Roman" w:cs="Times New Roman"/>
          <w:sz w:val="16"/>
          <w:szCs w:val="20"/>
        </w:rPr>
        <w:t xml:space="preserve"> implications of simultaneous increased serum levels of soluble CD23 and beta2-microglobulin in B-cell chronic lymphocytic leukemia. </w:t>
      </w:r>
      <w:proofErr w:type="spellStart"/>
      <w:r w:rsidR="003D7B1C" w:rsidRPr="003D7B1C">
        <w:rPr>
          <w:rFonts w:ascii="Times New Roman" w:hAnsi="Times New Roman" w:cs="Times New Roman"/>
          <w:sz w:val="16"/>
          <w:szCs w:val="20"/>
        </w:rPr>
        <w:t>Eur</w:t>
      </w:r>
      <w:proofErr w:type="spellEnd"/>
      <w:r w:rsidR="003D7B1C" w:rsidRPr="003D7B1C">
        <w:rPr>
          <w:rFonts w:ascii="Times New Roman" w:hAnsi="Times New Roman" w:cs="Times New Roman"/>
          <w:sz w:val="16"/>
          <w:szCs w:val="20"/>
        </w:rPr>
        <w:t xml:space="preserve"> J </w:t>
      </w:r>
      <w:proofErr w:type="spellStart"/>
      <w:r w:rsidR="003D7B1C" w:rsidRPr="003D7B1C">
        <w:rPr>
          <w:rFonts w:ascii="Times New Roman" w:hAnsi="Times New Roman" w:cs="Times New Roman"/>
          <w:sz w:val="16"/>
          <w:szCs w:val="20"/>
        </w:rPr>
        <w:t>Haematol</w:t>
      </w:r>
      <w:proofErr w:type="spellEnd"/>
      <w:r w:rsidR="003D7B1C" w:rsidRPr="003D7B1C">
        <w:rPr>
          <w:rFonts w:ascii="Times New Roman" w:hAnsi="Times New Roman" w:cs="Times New Roman"/>
          <w:sz w:val="16"/>
          <w:szCs w:val="20"/>
        </w:rPr>
        <w:t xml:space="preserve"> 1999, 62:117–122</w:t>
      </w:r>
    </w:p>
    <w:p w:rsidR="003D7B1C" w:rsidRPr="003D7B1C" w:rsidRDefault="00B34559" w:rsidP="003D7B1C">
      <w:pPr>
        <w:rPr>
          <w:rFonts w:ascii="Times New Roman" w:hAnsi="Times New Roman" w:cs="Times New Roman"/>
          <w:sz w:val="16"/>
          <w:szCs w:val="20"/>
        </w:rPr>
      </w:pPr>
      <w:proofErr w:type="gramStart"/>
      <w:r w:rsidRPr="00B34559">
        <w:rPr>
          <w:rFonts w:ascii="Times New Roman" w:hAnsi="Times New Roman" w:cs="Times New Roman"/>
          <w:sz w:val="16"/>
          <w:szCs w:val="20"/>
        </w:rPr>
        <w:t>9</w:t>
      </w:r>
      <w:r w:rsidR="003D7B1C" w:rsidRPr="003D7B1C">
        <w:rPr>
          <w:rFonts w:ascii="Times New Roman" w:hAnsi="Times New Roman" w:cs="Times New Roman"/>
          <w:sz w:val="16"/>
          <w:szCs w:val="20"/>
        </w:rPr>
        <w:t>.Mozaheb</w:t>
      </w:r>
      <w:proofErr w:type="gramEnd"/>
      <w:r w:rsidR="003D7B1C" w:rsidRPr="003D7B1C">
        <w:rPr>
          <w:rFonts w:ascii="Times New Roman" w:hAnsi="Times New Roman" w:cs="Times New Roman"/>
          <w:sz w:val="16"/>
          <w:szCs w:val="20"/>
        </w:rPr>
        <w:t xml:space="preserve"> Z et al., Chronic lymphocytic leukemia and prognostic factors. Asian Pac J Cancer Prev. 2012</w:t>
      </w:r>
      <w:proofErr w:type="gramStart"/>
      <w:r w:rsidR="003D7B1C" w:rsidRPr="003D7B1C">
        <w:rPr>
          <w:rFonts w:ascii="Times New Roman" w:hAnsi="Times New Roman" w:cs="Times New Roman"/>
          <w:sz w:val="16"/>
          <w:szCs w:val="20"/>
        </w:rPr>
        <w:t>;13</w:t>
      </w:r>
      <w:proofErr w:type="gramEnd"/>
      <w:r w:rsidR="003D7B1C" w:rsidRPr="003D7B1C">
        <w:rPr>
          <w:rFonts w:ascii="Times New Roman" w:hAnsi="Times New Roman" w:cs="Times New Roman"/>
          <w:sz w:val="16"/>
          <w:szCs w:val="20"/>
        </w:rPr>
        <w:t>(7):3009-13.</w:t>
      </w:r>
    </w:p>
    <w:p w:rsidR="003D7B1C" w:rsidRPr="003D7B1C" w:rsidRDefault="00B34559" w:rsidP="003D7B1C">
      <w:pPr>
        <w:rPr>
          <w:rFonts w:ascii="Times New Roman" w:hAnsi="Times New Roman" w:cs="Times New Roman"/>
          <w:sz w:val="16"/>
          <w:szCs w:val="20"/>
        </w:rPr>
      </w:pPr>
      <w:r w:rsidRPr="00B34559">
        <w:rPr>
          <w:rFonts w:ascii="Times New Roman" w:hAnsi="Times New Roman" w:cs="Times New Roman"/>
          <w:sz w:val="16"/>
          <w:szCs w:val="20"/>
        </w:rPr>
        <w:t>10</w:t>
      </w:r>
      <w:proofErr w:type="gramStart"/>
      <w:r w:rsidR="003D7B1C" w:rsidRPr="003D7B1C">
        <w:rPr>
          <w:rFonts w:ascii="Times New Roman" w:hAnsi="Times New Roman" w:cs="Times New Roman"/>
          <w:sz w:val="16"/>
          <w:szCs w:val="20"/>
        </w:rPr>
        <w:t>.Montserrat</w:t>
      </w:r>
      <w:proofErr w:type="gramEnd"/>
      <w:r w:rsidR="003D7B1C" w:rsidRPr="003D7B1C">
        <w:rPr>
          <w:rFonts w:ascii="Times New Roman" w:hAnsi="Times New Roman" w:cs="Times New Roman"/>
          <w:sz w:val="16"/>
          <w:szCs w:val="20"/>
        </w:rPr>
        <w:t xml:space="preserve"> E, et al., Bone marrow </w:t>
      </w:r>
      <w:proofErr w:type="spellStart"/>
      <w:r w:rsidR="003D7B1C" w:rsidRPr="003D7B1C">
        <w:rPr>
          <w:rFonts w:ascii="Times New Roman" w:hAnsi="Times New Roman" w:cs="Times New Roman"/>
          <w:sz w:val="16"/>
          <w:szCs w:val="20"/>
        </w:rPr>
        <w:t>histopathologic</w:t>
      </w:r>
      <w:proofErr w:type="spellEnd"/>
      <w:r w:rsidR="003D7B1C" w:rsidRPr="003D7B1C">
        <w:rPr>
          <w:rFonts w:ascii="Times New Roman" w:hAnsi="Times New Roman" w:cs="Times New Roman"/>
          <w:sz w:val="16"/>
          <w:szCs w:val="20"/>
        </w:rPr>
        <w:t xml:space="preserve"> patterns and immunologic findings in B-chronic lymphocytic leukemia. Cancer 1984, 54:447–451</w:t>
      </w:r>
    </w:p>
    <w:p w:rsidR="00EE71BB" w:rsidRPr="003D7B1C" w:rsidRDefault="00B34559" w:rsidP="003D7B1C">
      <w:pPr>
        <w:rPr>
          <w:rFonts w:ascii="Times New Roman" w:hAnsi="Times New Roman" w:cs="Times New Roman"/>
          <w:sz w:val="16"/>
          <w:szCs w:val="20"/>
        </w:rPr>
      </w:pPr>
      <w:r w:rsidRPr="00B34559">
        <w:rPr>
          <w:rFonts w:ascii="Times New Roman" w:hAnsi="Times New Roman" w:cs="Times New Roman"/>
          <w:sz w:val="16"/>
          <w:szCs w:val="20"/>
        </w:rPr>
        <w:t>11</w:t>
      </w:r>
      <w:proofErr w:type="gramStart"/>
      <w:r w:rsidR="003D7B1C" w:rsidRPr="003D7B1C">
        <w:rPr>
          <w:rFonts w:ascii="Times New Roman" w:hAnsi="Times New Roman" w:cs="Times New Roman"/>
          <w:sz w:val="16"/>
          <w:szCs w:val="20"/>
        </w:rPr>
        <w:t>.Ghielmini</w:t>
      </w:r>
      <w:proofErr w:type="gramEnd"/>
      <w:r w:rsidR="003D7B1C" w:rsidRPr="003D7B1C">
        <w:rPr>
          <w:rFonts w:ascii="Times New Roman" w:hAnsi="Times New Roman" w:cs="Times New Roman"/>
          <w:sz w:val="16"/>
          <w:szCs w:val="20"/>
        </w:rPr>
        <w:t xml:space="preserve"> M. et al., ,ESMO Guidelines consensus conference on malignant lymphoma 2011 part 1: diffuse large B-cell lymphoma (DLBCL), follicular lymphoma (FL) and chronic lymphocytic leukemia (CLL) Annals of Oncology 24: 561–576, 2013</w:t>
      </w:r>
    </w:p>
    <w:p w:rsidR="00EE71BB" w:rsidRPr="008D57F5" w:rsidRDefault="00EE71BB" w:rsidP="00EE71BB">
      <w:pPr>
        <w:rPr>
          <w:rFonts w:ascii="Times New Roman" w:hAnsi="Times New Roman" w:cs="Times New Roman"/>
          <w:sz w:val="20"/>
          <w:szCs w:val="20"/>
        </w:rPr>
      </w:pPr>
    </w:p>
    <w:sectPr w:rsidR="00EE71BB" w:rsidRPr="008D57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6B0D"/>
    <w:multiLevelType w:val="multilevel"/>
    <w:tmpl w:val="4756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E78A6"/>
    <w:multiLevelType w:val="multilevel"/>
    <w:tmpl w:val="9A68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94E20"/>
    <w:multiLevelType w:val="hybridMultilevel"/>
    <w:tmpl w:val="DC36C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469C4"/>
    <w:multiLevelType w:val="hybridMultilevel"/>
    <w:tmpl w:val="9E48B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E4A18"/>
    <w:multiLevelType w:val="hybridMultilevel"/>
    <w:tmpl w:val="6C32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03E11"/>
    <w:multiLevelType w:val="hybridMultilevel"/>
    <w:tmpl w:val="A8D2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A0D57"/>
    <w:multiLevelType w:val="hybridMultilevel"/>
    <w:tmpl w:val="8A2E9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E40ACB"/>
    <w:multiLevelType w:val="hybridMultilevel"/>
    <w:tmpl w:val="7DF0D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8D3BD0"/>
    <w:multiLevelType w:val="hybridMultilevel"/>
    <w:tmpl w:val="DA44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CF5DF5"/>
    <w:multiLevelType w:val="hybridMultilevel"/>
    <w:tmpl w:val="70B6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E721BC"/>
    <w:multiLevelType w:val="hybridMultilevel"/>
    <w:tmpl w:val="CEDA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086BBF"/>
    <w:multiLevelType w:val="hybridMultilevel"/>
    <w:tmpl w:val="760A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CE2001"/>
    <w:multiLevelType w:val="hybridMultilevel"/>
    <w:tmpl w:val="F64C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642BF5"/>
    <w:multiLevelType w:val="hybridMultilevel"/>
    <w:tmpl w:val="081C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F1414B"/>
    <w:multiLevelType w:val="hybridMultilevel"/>
    <w:tmpl w:val="661E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1F3309"/>
    <w:multiLevelType w:val="multilevel"/>
    <w:tmpl w:val="4124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870274"/>
    <w:multiLevelType w:val="multilevel"/>
    <w:tmpl w:val="9330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E16382"/>
    <w:multiLevelType w:val="multilevel"/>
    <w:tmpl w:val="5F743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5419A4"/>
    <w:multiLevelType w:val="multilevel"/>
    <w:tmpl w:val="CECC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6"/>
  </w:num>
  <w:num w:numId="3">
    <w:abstractNumId w:val="17"/>
  </w:num>
  <w:num w:numId="4">
    <w:abstractNumId w:val="18"/>
  </w:num>
  <w:num w:numId="5">
    <w:abstractNumId w:val="15"/>
  </w:num>
  <w:num w:numId="6">
    <w:abstractNumId w:val="0"/>
  </w:num>
  <w:num w:numId="7">
    <w:abstractNumId w:val="11"/>
  </w:num>
  <w:num w:numId="8">
    <w:abstractNumId w:val="14"/>
  </w:num>
  <w:num w:numId="9">
    <w:abstractNumId w:val="5"/>
  </w:num>
  <w:num w:numId="10">
    <w:abstractNumId w:val="12"/>
  </w:num>
  <w:num w:numId="11">
    <w:abstractNumId w:val="8"/>
  </w:num>
  <w:num w:numId="12">
    <w:abstractNumId w:val="4"/>
  </w:num>
  <w:num w:numId="13">
    <w:abstractNumId w:val="7"/>
  </w:num>
  <w:num w:numId="14">
    <w:abstractNumId w:val="9"/>
  </w:num>
  <w:num w:numId="15">
    <w:abstractNumId w:val="10"/>
  </w:num>
  <w:num w:numId="16">
    <w:abstractNumId w:val="2"/>
  </w:num>
  <w:num w:numId="17">
    <w:abstractNumId w:val="3"/>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6C3"/>
    <w:rsid w:val="000E3F9F"/>
    <w:rsid w:val="00260409"/>
    <w:rsid w:val="003556C3"/>
    <w:rsid w:val="003D7B1C"/>
    <w:rsid w:val="00430144"/>
    <w:rsid w:val="004F1794"/>
    <w:rsid w:val="00510CFA"/>
    <w:rsid w:val="00797E19"/>
    <w:rsid w:val="008A30F8"/>
    <w:rsid w:val="008D57F5"/>
    <w:rsid w:val="008D7DCB"/>
    <w:rsid w:val="008E132C"/>
    <w:rsid w:val="00B34559"/>
    <w:rsid w:val="00B366E6"/>
    <w:rsid w:val="00B8409F"/>
    <w:rsid w:val="00C8251F"/>
    <w:rsid w:val="00CD588C"/>
    <w:rsid w:val="00D32C38"/>
    <w:rsid w:val="00DB19AC"/>
    <w:rsid w:val="00EE71BB"/>
    <w:rsid w:val="00EF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32C"/>
    <w:pPr>
      <w:ind w:left="720"/>
      <w:contextualSpacing/>
    </w:pPr>
  </w:style>
  <w:style w:type="paragraph" w:styleId="BalloonText">
    <w:name w:val="Balloon Text"/>
    <w:basedOn w:val="Normal"/>
    <w:link w:val="BalloonTextChar"/>
    <w:uiPriority w:val="99"/>
    <w:semiHidden/>
    <w:unhideWhenUsed/>
    <w:rsid w:val="00260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32C"/>
    <w:pPr>
      <w:ind w:left="720"/>
      <w:contextualSpacing/>
    </w:pPr>
  </w:style>
  <w:style w:type="paragraph" w:styleId="BalloonText">
    <w:name w:val="Balloon Text"/>
    <w:basedOn w:val="Normal"/>
    <w:link w:val="BalloonTextChar"/>
    <w:uiPriority w:val="99"/>
    <w:semiHidden/>
    <w:unhideWhenUsed/>
    <w:rsid w:val="00260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61581">
      <w:bodyDiv w:val="1"/>
      <w:marLeft w:val="0"/>
      <w:marRight w:val="0"/>
      <w:marTop w:val="0"/>
      <w:marBottom w:val="0"/>
      <w:divBdr>
        <w:top w:val="none" w:sz="0" w:space="0" w:color="auto"/>
        <w:left w:val="none" w:sz="0" w:space="0" w:color="auto"/>
        <w:bottom w:val="none" w:sz="0" w:space="0" w:color="auto"/>
        <w:right w:val="none" w:sz="0" w:space="0" w:color="auto"/>
      </w:divBdr>
      <w:divsChild>
        <w:div w:id="1749114056">
          <w:marLeft w:val="0"/>
          <w:marRight w:val="0"/>
          <w:marTop w:val="0"/>
          <w:marBottom w:val="0"/>
          <w:divBdr>
            <w:top w:val="none" w:sz="0" w:space="0" w:color="auto"/>
            <w:left w:val="none" w:sz="0" w:space="0" w:color="auto"/>
            <w:bottom w:val="none" w:sz="0" w:space="0" w:color="auto"/>
            <w:right w:val="none" w:sz="0" w:space="0" w:color="auto"/>
          </w:divBdr>
          <w:divsChild>
            <w:div w:id="1318801393">
              <w:marLeft w:val="0"/>
              <w:marRight w:val="0"/>
              <w:marTop w:val="0"/>
              <w:marBottom w:val="0"/>
              <w:divBdr>
                <w:top w:val="none" w:sz="0" w:space="0" w:color="auto"/>
                <w:left w:val="none" w:sz="0" w:space="0" w:color="auto"/>
                <w:bottom w:val="none" w:sz="0" w:space="0" w:color="auto"/>
                <w:right w:val="none" w:sz="0" w:space="0" w:color="auto"/>
              </w:divBdr>
              <w:divsChild>
                <w:div w:id="622074341">
                  <w:marLeft w:val="0"/>
                  <w:marRight w:val="0"/>
                  <w:marTop w:val="0"/>
                  <w:marBottom w:val="0"/>
                  <w:divBdr>
                    <w:top w:val="none" w:sz="0" w:space="0" w:color="auto"/>
                    <w:left w:val="none" w:sz="0" w:space="0" w:color="auto"/>
                    <w:bottom w:val="none" w:sz="0" w:space="0" w:color="auto"/>
                    <w:right w:val="none" w:sz="0" w:space="0" w:color="auto"/>
                  </w:divBdr>
                  <w:divsChild>
                    <w:div w:id="1594895077">
                      <w:marLeft w:val="0"/>
                      <w:marRight w:val="0"/>
                      <w:marTop w:val="0"/>
                      <w:marBottom w:val="0"/>
                      <w:divBdr>
                        <w:top w:val="none" w:sz="0" w:space="0" w:color="auto"/>
                        <w:left w:val="none" w:sz="0" w:space="0" w:color="auto"/>
                        <w:bottom w:val="none" w:sz="0" w:space="0" w:color="auto"/>
                        <w:right w:val="none" w:sz="0" w:space="0" w:color="auto"/>
                      </w:divBdr>
                      <w:divsChild>
                        <w:div w:id="2059042494">
                          <w:marLeft w:val="0"/>
                          <w:marRight w:val="0"/>
                          <w:marTop w:val="0"/>
                          <w:marBottom w:val="0"/>
                          <w:divBdr>
                            <w:top w:val="none" w:sz="0" w:space="0" w:color="auto"/>
                            <w:left w:val="none" w:sz="0" w:space="0" w:color="auto"/>
                            <w:bottom w:val="none" w:sz="0" w:space="0" w:color="auto"/>
                            <w:right w:val="none" w:sz="0" w:space="0" w:color="auto"/>
                          </w:divBdr>
                          <w:divsChild>
                            <w:div w:id="1690259171">
                              <w:marLeft w:val="0"/>
                              <w:marRight w:val="0"/>
                              <w:marTop w:val="0"/>
                              <w:marBottom w:val="0"/>
                              <w:divBdr>
                                <w:top w:val="none" w:sz="0" w:space="0" w:color="auto"/>
                                <w:left w:val="none" w:sz="0" w:space="0" w:color="auto"/>
                                <w:bottom w:val="none" w:sz="0" w:space="0" w:color="auto"/>
                                <w:right w:val="none" w:sz="0" w:space="0" w:color="auto"/>
                              </w:divBdr>
                              <w:divsChild>
                                <w:div w:id="1510682850">
                                  <w:marLeft w:val="0"/>
                                  <w:marRight w:val="0"/>
                                  <w:marTop w:val="0"/>
                                  <w:marBottom w:val="0"/>
                                  <w:divBdr>
                                    <w:top w:val="none" w:sz="0" w:space="0" w:color="auto"/>
                                    <w:left w:val="none" w:sz="0" w:space="0" w:color="auto"/>
                                    <w:bottom w:val="none" w:sz="0" w:space="0" w:color="auto"/>
                                    <w:right w:val="none" w:sz="0" w:space="0" w:color="auto"/>
                                  </w:divBdr>
                                  <w:divsChild>
                                    <w:div w:id="1762793177">
                                      <w:marLeft w:val="0"/>
                                      <w:marRight w:val="0"/>
                                      <w:marTop w:val="0"/>
                                      <w:marBottom w:val="0"/>
                                      <w:divBdr>
                                        <w:top w:val="none" w:sz="0" w:space="0" w:color="auto"/>
                                        <w:left w:val="none" w:sz="0" w:space="0" w:color="auto"/>
                                        <w:bottom w:val="none" w:sz="0" w:space="0" w:color="auto"/>
                                        <w:right w:val="none" w:sz="0" w:space="0" w:color="auto"/>
                                      </w:divBdr>
                                      <w:divsChild>
                                        <w:div w:id="976836206">
                                          <w:marLeft w:val="0"/>
                                          <w:marRight w:val="0"/>
                                          <w:marTop w:val="0"/>
                                          <w:marBottom w:val="0"/>
                                          <w:divBdr>
                                            <w:top w:val="none" w:sz="0" w:space="0" w:color="auto"/>
                                            <w:left w:val="none" w:sz="0" w:space="0" w:color="auto"/>
                                            <w:bottom w:val="none" w:sz="0" w:space="0" w:color="auto"/>
                                            <w:right w:val="none" w:sz="0" w:space="0" w:color="auto"/>
                                          </w:divBdr>
                                          <w:divsChild>
                                            <w:div w:id="1264219202">
                                              <w:marLeft w:val="0"/>
                                              <w:marRight w:val="0"/>
                                              <w:marTop w:val="0"/>
                                              <w:marBottom w:val="0"/>
                                              <w:divBdr>
                                                <w:top w:val="none" w:sz="0" w:space="0" w:color="auto"/>
                                                <w:left w:val="none" w:sz="0" w:space="0" w:color="auto"/>
                                                <w:bottom w:val="none" w:sz="0" w:space="0" w:color="auto"/>
                                                <w:right w:val="none" w:sz="0" w:space="0" w:color="auto"/>
                                              </w:divBdr>
                                              <w:divsChild>
                                                <w:div w:id="5266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47776">
                                      <w:marLeft w:val="0"/>
                                      <w:marRight w:val="0"/>
                                      <w:marTop w:val="0"/>
                                      <w:marBottom w:val="0"/>
                                      <w:divBdr>
                                        <w:top w:val="none" w:sz="0" w:space="0" w:color="auto"/>
                                        <w:left w:val="none" w:sz="0" w:space="0" w:color="auto"/>
                                        <w:bottom w:val="none" w:sz="0" w:space="0" w:color="auto"/>
                                        <w:right w:val="none" w:sz="0" w:space="0" w:color="auto"/>
                                      </w:divBdr>
                                      <w:divsChild>
                                        <w:div w:id="146361215">
                                          <w:marLeft w:val="0"/>
                                          <w:marRight w:val="0"/>
                                          <w:marTop w:val="0"/>
                                          <w:marBottom w:val="0"/>
                                          <w:divBdr>
                                            <w:top w:val="none" w:sz="0" w:space="0" w:color="auto"/>
                                            <w:left w:val="none" w:sz="0" w:space="0" w:color="auto"/>
                                            <w:bottom w:val="none" w:sz="0" w:space="0" w:color="auto"/>
                                            <w:right w:val="none" w:sz="0" w:space="0" w:color="auto"/>
                                          </w:divBdr>
                                          <w:divsChild>
                                            <w:div w:id="636422465">
                                              <w:marLeft w:val="0"/>
                                              <w:marRight w:val="0"/>
                                              <w:marTop w:val="0"/>
                                              <w:marBottom w:val="0"/>
                                              <w:divBdr>
                                                <w:top w:val="none" w:sz="0" w:space="0" w:color="auto"/>
                                                <w:left w:val="none" w:sz="0" w:space="0" w:color="auto"/>
                                                <w:bottom w:val="none" w:sz="0" w:space="0" w:color="auto"/>
                                                <w:right w:val="none" w:sz="0" w:space="0" w:color="auto"/>
                                              </w:divBdr>
                                              <w:divsChild>
                                                <w:div w:id="21016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09279">
                                      <w:marLeft w:val="0"/>
                                      <w:marRight w:val="0"/>
                                      <w:marTop w:val="0"/>
                                      <w:marBottom w:val="0"/>
                                      <w:divBdr>
                                        <w:top w:val="none" w:sz="0" w:space="0" w:color="auto"/>
                                        <w:left w:val="none" w:sz="0" w:space="0" w:color="auto"/>
                                        <w:bottom w:val="none" w:sz="0" w:space="0" w:color="auto"/>
                                        <w:right w:val="none" w:sz="0" w:space="0" w:color="auto"/>
                                      </w:divBdr>
                                      <w:divsChild>
                                        <w:div w:id="119805630">
                                          <w:marLeft w:val="0"/>
                                          <w:marRight w:val="0"/>
                                          <w:marTop w:val="0"/>
                                          <w:marBottom w:val="0"/>
                                          <w:divBdr>
                                            <w:top w:val="none" w:sz="0" w:space="0" w:color="auto"/>
                                            <w:left w:val="none" w:sz="0" w:space="0" w:color="auto"/>
                                            <w:bottom w:val="none" w:sz="0" w:space="0" w:color="auto"/>
                                            <w:right w:val="none" w:sz="0" w:space="0" w:color="auto"/>
                                          </w:divBdr>
                                          <w:divsChild>
                                            <w:div w:id="693968374">
                                              <w:marLeft w:val="0"/>
                                              <w:marRight w:val="0"/>
                                              <w:marTop w:val="0"/>
                                              <w:marBottom w:val="0"/>
                                              <w:divBdr>
                                                <w:top w:val="none" w:sz="0" w:space="0" w:color="auto"/>
                                                <w:left w:val="none" w:sz="0" w:space="0" w:color="auto"/>
                                                <w:bottom w:val="none" w:sz="0" w:space="0" w:color="auto"/>
                                                <w:right w:val="none" w:sz="0" w:space="0" w:color="auto"/>
                                              </w:divBdr>
                                              <w:divsChild>
                                                <w:div w:id="9424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277">
                                      <w:marLeft w:val="0"/>
                                      <w:marRight w:val="0"/>
                                      <w:marTop w:val="0"/>
                                      <w:marBottom w:val="0"/>
                                      <w:divBdr>
                                        <w:top w:val="none" w:sz="0" w:space="0" w:color="auto"/>
                                        <w:left w:val="none" w:sz="0" w:space="0" w:color="auto"/>
                                        <w:bottom w:val="none" w:sz="0" w:space="0" w:color="auto"/>
                                        <w:right w:val="none" w:sz="0" w:space="0" w:color="auto"/>
                                      </w:divBdr>
                                      <w:divsChild>
                                        <w:div w:id="1454592487">
                                          <w:marLeft w:val="0"/>
                                          <w:marRight w:val="0"/>
                                          <w:marTop w:val="0"/>
                                          <w:marBottom w:val="0"/>
                                          <w:divBdr>
                                            <w:top w:val="none" w:sz="0" w:space="0" w:color="auto"/>
                                            <w:left w:val="none" w:sz="0" w:space="0" w:color="auto"/>
                                            <w:bottom w:val="none" w:sz="0" w:space="0" w:color="auto"/>
                                            <w:right w:val="none" w:sz="0" w:space="0" w:color="auto"/>
                                          </w:divBdr>
                                          <w:divsChild>
                                            <w:div w:id="662128233">
                                              <w:marLeft w:val="0"/>
                                              <w:marRight w:val="0"/>
                                              <w:marTop w:val="0"/>
                                              <w:marBottom w:val="0"/>
                                              <w:divBdr>
                                                <w:top w:val="none" w:sz="0" w:space="0" w:color="auto"/>
                                                <w:left w:val="none" w:sz="0" w:space="0" w:color="auto"/>
                                                <w:bottom w:val="none" w:sz="0" w:space="0" w:color="auto"/>
                                                <w:right w:val="none" w:sz="0" w:space="0" w:color="auto"/>
                                              </w:divBdr>
                                              <w:divsChild>
                                                <w:div w:id="21115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11734">
                                      <w:marLeft w:val="0"/>
                                      <w:marRight w:val="0"/>
                                      <w:marTop w:val="0"/>
                                      <w:marBottom w:val="0"/>
                                      <w:divBdr>
                                        <w:top w:val="none" w:sz="0" w:space="0" w:color="auto"/>
                                        <w:left w:val="none" w:sz="0" w:space="0" w:color="auto"/>
                                        <w:bottom w:val="none" w:sz="0" w:space="0" w:color="auto"/>
                                        <w:right w:val="none" w:sz="0" w:space="0" w:color="auto"/>
                                      </w:divBdr>
                                      <w:divsChild>
                                        <w:div w:id="1303265183">
                                          <w:marLeft w:val="0"/>
                                          <w:marRight w:val="0"/>
                                          <w:marTop w:val="0"/>
                                          <w:marBottom w:val="0"/>
                                          <w:divBdr>
                                            <w:top w:val="none" w:sz="0" w:space="0" w:color="auto"/>
                                            <w:left w:val="none" w:sz="0" w:space="0" w:color="auto"/>
                                            <w:bottom w:val="none" w:sz="0" w:space="0" w:color="auto"/>
                                            <w:right w:val="none" w:sz="0" w:space="0" w:color="auto"/>
                                          </w:divBdr>
                                          <w:divsChild>
                                            <w:div w:id="1974557154">
                                              <w:marLeft w:val="0"/>
                                              <w:marRight w:val="0"/>
                                              <w:marTop w:val="0"/>
                                              <w:marBottom w:val="0"/>
                                              <w:divBdr>
                                                <w:top w:val="none" w:sz="0" w:space="0" w:color="auto"/>
                                                <w:left w:val="none" w:sz="0" w:space="0" w:color="auto"/>
                                                <w:bottom w:val="none" w:sz="0" w:space="0" w:color="auto"/>
                                                <w:right w:val="none" w:sz="0" w:space="0" w:color="auto"/>
                                              </w:divBdr>
                                              <w:divsChild>
                                                <w:div w:id="91135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17920">
      <w:bodyDiv w:val="1"/>
      <w:marLeft w:val="0"/>
      <w:marRight w:val="0"/>
      <w:marTop w:val="0"/>
      <w:marBottom w:val="0"/>
      <w:divBdr>
        <w:top w:val="none" w:sz="0" w:space="0" w:color="auto"/>
        <w:left w:val="none" w:sz="0" w:space="0" w:color="auto"/>
        <w:bottom w:val="none" w:sz="0" w:space="0" w:color="auto"/>
        <w:right w:val="none" w:sz="0" w:space="0" w:color="auto"/>
      </w:divBdr>
      <w:divsChild>
        <w:div w:id="1515925737">
          <w:marLeft w:val="0"/>
          <w:marRight w:val="0"/>
          <w:marTop w:val="0"/>
          <w:marBottom w:val="0"/>
          <w:divBdr>
            <w:top w:val="none" w:sz="0" w:space="0" w:color="auto"/>
            <w:left w:val="none" w:sz="0" w:space="0" w:color="auto"/>
            <w:bottom w:val="none" w:sz="0" w:space="0" w:color="auto"/>
            <w:right w:val="none" w:sz="0" w:space="0" w:color="auto"/>
          </w:divBdr>
          <w:divsChild>
            <w:div w:id="1959337812">
              <w:marLeft w:val="0"/>
              <w:marRight w:val="0"/>
              <w:marTop w:val="0"/>
              <w:marBottom w:val="0"/>
              <w:divBdr>
                <w:top w:val="none" w:sz="0" w:space="0" w:color="auto"/>
                <w:left w:val="none" w:sz="0" w:space="0" w:color="auto"/>
                <w:bottom w:val="none" w:sz="0" w:space="0" w:color="auto"/>
                <w:right w:val="none" w:sz="0" w:space="0" w:color="auto"/>
              </w:divBdr>
              <w:divsChild>
                <w:div w:id="1253466205">
                  <w:marLeft w:val="0"/>
                  <w:marRight w:val="0"/>
                  <w:marTop w:val="0"/>
                  <w:marBottom w:val="0"/>
                  <w:divBdr>
                    <w:top w:val="none" w:sz="0" w:space="0" w:color="auto"/>
                    <w:left w:val="none" w:sz="0" w:space="0" w:color="auto"/>
                    <w:bottom w:val="none" w:sz="0" w:space="0" w:color="auto"/>
                    <w:right w:val="none" w:sz="0" w:space="0" w:color="auto"/>
                  </w:divBdr>
                  <w:divsChild>
                    <w:div w:id="327831012">
                      <w:marLeft w:val="0"/>
                      <w:marRight w:val="0"/>
                      <w:marTop w:val="0"/>
                      <w:marBottom w:val="0"/>
                      <w:divBdr>
                        <w:top w:val="none" w:sz="0" w:space="0" w:color="auto"/>
                        <w:left w:val="none" w:sz="0" w:space="0" w:color="auto"/>
                        <w:bottom w:val="none" w:sz="0" w:space="0" w:color="auto"/>
                        <w:right w:val="none" w:sz="0" w:space="0" w:color="auto"/>
                      </w:divBdr>
                      <w:divsChild>
                        <w:div w:id="1685014917">
                          <w:marLeft w:val="0"/>
                          <w:marRight w:val="0"/>
                          <w:marTop w:val="0"/>
                          <w:marBottom w:val="0"/>
                          <w:divBdr>
                            <w:top w:val="none" w:sz="0" w:space="0" w:color="auto"/>
                            <w:left w:val="none" w:sz="0" w:space="0" w:color="auto"/>
                            <w:bottom w:val="none" w:sz="0" w:space="0" w:color="auto"/>
                            <w:right w:val="none" w:sz="0" w:space="0" w:color="auto"/>
                          </w:divBdr>
                          <w:divsChild>
                            <w:div w:id="98063895">
                              <w:marLeft w:val="0"/>
                              <w:marRight w:val="0"/>
                              <w:marTop w:val="0"/>
                              <w:marBottom w:val="0"/>
                              <w:divBdr>
                                <w:top w:val="none" w:sz="0" w:space="0" w:color="auto"/>
                                <w:left w:val="none" w:sz="0" w:space="0" w:color="auto"/>
                                <w:bottom w:val="none" w:sz="0" w:space="0" w:color="auto"/>
                                <w:right w:val="none" w:sz="0" w:space="0" w:color="auto"/>
                              </w:divBdr>
                              <w:divsChild>
                                <w:div w:id="1975140103">
                                  <w:marLeft w:val="0"/>
                                  <w:marRight w:val="0"/>
                                  <w:marTop w:val="0"/>
                                  <w:marBottom w:val="0"/>
                                  <w:divBdr>
                                    <w:top w:val="none" w:sz="0" w:space="0" w:color="auto"/>
                                    <w:left w:val="none" w:sz="0" w:space="0" w:color="auto"/>
                                    <w:bottom w:val="none" w:sz="0" w:space="0" w:color="auto"/>
                                    <w:right w:val="none" w:sz="0" w:space="0" w:color="auto"/>
                                  </w:divBdr>
                                  <w:divsChild>
                                    <w:div w:id="1500120272">
                                      <w:marLeft w:val="0"/>
                                      <w:marRight w:val="0"/>
                                      <w:marTop w:val="0"/>
                                      <w:marBottom w:val="0"/>
                                      <w:divBdr>
                                        <w:top w:val="none" w:sz="0" w:space="0" w:color="auto"/>
                                        <w:left w:val="none" w:sz="0" w:space="0" w:color="auto"/>
                                        <w:bottom w:val="none" w:sz="0" w:space="0" w:color="auto"/>
                                        <w:right w:val="none" w:sz="0" w:space="0" w:color="auto"/>
                                      </w:divBdr>
                                      <w:divsChild>
                                        <w:div w:id="1268539965">
                                          <w:marLeft w:val="0"/>
                                          <w:marRight w:val="0"/>
                                          <w:marTop w:val="0"/>
                                          <w:marBottom w:val="0"/>
                                          <w:divBdr>
                                            <w:top w:val="none" w:sz="0" w:space="0" w:color="auto"/>
                                            <w:left w:val="none" w:sz="0" w:space="0" w:color="auto"/>
                                            <w:bottom w:val="none" w:sz="0" w:space="0" w:color="auto"/>
                                            <w:right w:val="none" w:sz="0" w:space="0" w:color="auto"/>
                                          </w:divBdr>
                                          <w:divsChild>
                                            <w:div w:id="2096705711">
                                              <w:marLeft w:val="0"/>
                                              <w:marRight w:val="0"/>
                                              <w:marTop w:val="0"/>
                                              <w:marBottom w:val="0"/>
                                              <w:divBdr>
                                                <w:top w:val="none" w:sz="0" w:space="0" w:color="auto"/>
                                                <w:left w:val="none" w:sz="0" w:space="0" w:color="auto"/>
                                                <w:bottom w:val="none" w:sz="0" w:space="0" w:color="auto"/>
                                                <w:right w:val="none" w:sz="0" w:space="0" w:color="auto"/>
                                              </w:divBdr>
                                              <w:divsChild>
                                                <w:div w:id="10465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6379">
                                      <w:marLeft w:val="0"/>
                                      <w:marRight w:val="0"/>
                                      <w:marTop w:val="0"/>
                                      <w:marBottom w:val="0"/>
                                      <w:divBdr>
                                        <w:top w:val="none" w:sz="0" w:space="0" w:color="auto"/>
                                        <w:left w:val="none" w:sz="0" w:space="0" w:color="auto"/>
                                        <w:bottom w:val="none" w:sz="0" w:space="0" w:color="auto"/>
                                        <w:right w:val="none" w:sz="0" w:space="0" w:color="auto"/>
                                      </w:divBdr>
                                      <w:divsChild>
                                        <w:div w:id="548305931">
                                          <w:marLeft w:val="0"/>
                                          <w:marRight w:val="0"/>
                                          <w:marTop w:val="0"/>
                                          <w:marBottom w:val="0"/>
                                          <w:divBdr>
                                            <w:top w:val="none" w:sz="0" w:space="0" w:color="auto"/>
                                            <w:left w:val="none" w:sz="0" w:space="0" w:color="auto"/>
                                            <w:bottom w:val="none" w:sz="0" w:space="0" w:color="auto"/>
                                            <w:right w:val="none" w:sz="0" w:space="0" w:color="auto"/>
                                          </w:divBdr>
                                          <w:divsChild>
                                            <w:div w:id="25913242">
                                              <w:marLeft w:val="0"/>
                                              <w:marRight w:val="0"/>
                                              <w:marTop w:val="0"/>
                                              <w:marBottom w:val="0"/>
                                              <w:divBdr>
                                                <w:top w:val="none" w:sz="0" w:space="0" w:color="auto"/>
                                                <w:left w:val="none" w:sz="0" w:space="0" w:color="auto"/>
                                                <w:bottom w:val="none" w:sz="0" w:space="0" w:color="auto"/>
                                                <w:right w:val="none" w:sz="0" w:space="0" w:color="auto"/>
                                              </w:divBdr>
                                              <w:divsChild>
                                                <w:div w:id="7260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1765</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11279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Karkanis, Fotios {MWXR~Athens}</dc:creator>
  <cp:lastModifiedBy>Karamanli, Ioanna {MWXR~Athens}</cp:lastModifiedBy>
  <cp:revision>5</cp:revision>
  <cp:lastPrinted>2016-10-04T05:48:00Z</cp:lastPrinted>
  <dcterms:created xsi:type="dcterms:W3CDTF">2016-10-03T13:24:00Z</dcterms:created>
  <dcterms:modified xsi:type="dcterms:W3CDTF">2016-10-04T09:45:00Z</dcterms:modified>
</cp:coreProperties>
</file>