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C3" w:rsidRPr="00B3476E" w:rsidRDefault="003556C3" w:rsidP="003556C3">
      <w:pPr>
        <w:spacing w:before="100" w:beforeAutospacing="1" w:after="100" w:afterAutospacing="1" w:line="240" w:lineRule="auto"/>
        <w:outlineLvl w:val="0"/>
        <w:rPr>
          <w:rFonts w:ascii="Times New Roman" w:eastAsia="Times New Roman" w:hAnsi="Times New Roman" w:cs="Times New Roman"/>
          <w:b/>
          <w:bCs/>
          <w:kern w:val="36"/>
          <w:szCs w:val="20"/>
          <w:lang w:val="el-GR"/>
        </w:rPr>
      </w:pPr>
      <w:r w:rsidRPr="00B366E6">
        <w:rPr>
          <w:rFonts w:ascii="Times New Roman" w:eastAsia="Times New Roman" w:hAnsi="Times New Roman" w:cs="Times New Roman"/>
          <w:b/>
          <w:bCs/>
          <w:kern w:val="36"/>
          <w:szCs w:val="20"/>
          <w:lang w:val="el-GR"/>
        </w:rPr>
        <w:t>Λέμφωμα Μη-</w:t>
      </w:r>
      <w:r w:rsidRPr="00B366E6">
        <w:rPr>
          <w:rFonts w:ascii="Times New Roman" w:eastAsia="Times New Roman" w:hAnsi="Times New Roman" w:cs="Times New Roman"/>
          <w:b/>
          <w:bCs/>
          <w:kern w:val="36"/>
          <w:szCs w:val="20"/>
        </w:rPr>
        <w:t>Hodgkin</w:t>
      </w:r>
    </w:p>
    <w:p w:rsidR="003556C3" w:rsidRPr="003556C3" w:rsidRDefault="003556C3" w:rsidP="003556C3">
      <w:pPr>
        <w:spacing w:before="100" w:beforeAutospacing="1" w:after="100" w:afterAutospacing="1" w:line="240" w:lineRule="auto"/>
        <w:outlineLvl w:val="0"/>
        <w:rPr>
          <w:rFonts w:ascii="Times New Roman" w:eastAsia="Times New Roman" w:hAnsi="Times New Roman" w:cs="Times New Roman"/>
          <w:b/>
          <w:bCs/>
          <w:kern w:val="36"/>
          <w:szCs w:val="20"/>
          <w:lang w:val="el-GR"/>
        </w:rPr>
      </w:pPr>
      <w:r w:rsidRPr="003556C3">
        <w:rPr>
          <w:rFonts w:ascii="Times New Roman" w:eastAsia="Times New Roman" w:hAnsi="Times New Roman" w:cs="Times New Roman"/>
          <w:b/>
          <w:bCs/>
          <w:kern w:val="36"/>
          <w:szCs w:val="20"/>
          <w:lang w:val="el-GR"/>
        </w:rPr>
        <w:t>Περιγραφή</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Τα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λεμφώματα είναι μία ετερογενής ομάδα νεοπλασιών του λεμφικού συστήματος που προέρχονται από τα Β-λεμφοκύτταρα ή τα Τ-λεμφοκύτταρα. Στην τελευταία κατάταξη του Παγκόσμιου Οργανισμού Υγείας (</w:t>
      </w:r>
      <w:r w:rsidRPr="003556C3">
        <w:rPr>
          <w:rFonts w:ascii="Times New Roman" w:eastAsia="Times New Roman" w:hAnsi="Times New Roman" w:cs="Times New Roman"/>
          <w:sz w:val="20"/>
          <w:szCs w:val="20"/>
        </w:rPr>
        <w:t>World</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Health</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Organization</w:t>
      </w:r>
      <w:r w:rsidR="00B16DBA">
        <w:rPr>
          <w:rFonts w:ascii="Times New Roman" w:eastAsia="Times New Roman" w:hAnsi="Times New Roman" w:cs="Times New Roman"/>
          <w:sz w:val="20"/>
          <w:szCs w:val="20"/>
          <w:lang w:val="el-GR"/>
        </w:rPr>
        <w:t xml:space="preserve"> </w:t>
      </w:r>
      <w:r w:rsidR="00B16DBA" w:rsidRPr="00B16DBA">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WHO</w:t>
      </w:r>
      <w:r w:rsidRPr="003556C3">
        <w:rPr>
          <w:rFonts w:ascii="Times New Roman" w:eastAsia="Times New Roman" w:hAnsi="Times New Roman" w:cs="Times New Roman"/>
          <w:sz w:val="20"/>
          <w:szCs w:val="20"/>
          <w:lang w:val="el-GR"/>
        </w:rPr>
        <w:t>) περιλαμβάνονται πάνω από 40 μορφές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λεμφωμάτων, οι οποίες διαφέρουν μεταξύ τους σε επίπεδο ιστολογικών, βιολογικών και κλινικών χαρακτηριστικών</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Ανάλογα με την κλινική πορεία τα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λεμφώματα (Ν</w:t>
      </w:r>
      <w:r w:rsidRPr="003556C3">
        <w:rPr>
          <w:rFonts w:ascii="Times New Roman" w:eastAsia="Times New Roman" w:hAnsi="Times New Roman" w:cs="Times New Roman"/>
          <w:sz w:val="20"/>
          <w:szCs w:val="20"/>
        </w:rPr>
        <w:t>HL</w:t>
      </w:r>
      <w:r w:rsidRPr="003556C3">
        <w:rPr>
          <w:rFonts w:ascii="Times New Roman" w:eastAsia="Times New Roman" w:hAnsi="Times New Roman" w:cs="Times New Roman"/>
          <w:sz w:val="20"/>
          <w:szCs w:val="20"/>
          <w:lang w:val="el-GR"/>
        </w:rPr>
        <w:t>) κατατάσσονται σε επιθετικά και σε βραδέως εξελισσόμενα (χαμηλής κακοήθειας)</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Τα</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b/>
          <w:bCs/>
          <w:sz w:val="20"/>
          <w:szCs w:val="20"/>
          <w:lang w:val="el-GR"/>
        </w:rPr>
        <w:t>επιθετικά λεμφώματα</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sz w:val="20"/>
          <w:szCs w:val="20"/>
          <w:lang w:val="el-GR"/>
        </w:rPr>
        <w:t>χαρακτηρί</w:t>
      </w:r>
      <w:r w:rsidR="00E93162">
        <w:rPr>
          <w:rFonts w:ascii="Times New Roman" w:eastAsia="Times New Roman" w:hAnsi="Times New Roman" w:cs="Times New Roman"/>
          <w:sz w:val="20"/>
          <w:szCs w:val="20"/>
          <w:lang w:val="el-GR"/>
        </w:rPr>
        <w:t>ζονται από έντονη επιθετικότητα</w:t>
      </w:r>
      <w:r w:rsidRPr="003556C3">
        <w:rPr>
          <w:rFonts w:ascii="Times New Roman" w:eastAsia="Times New Roman" w:hAnsi="Times New Roman" w:cs="Times New Roman"/>
          <w:sz w:val="20"/>
          <w:szCs w:val="20"/>
          <w:lang w:val="el-GR"/>
        </w:rPr>
        <w:t xml:space="preserve"> και αν δεν αντιμετωπιστούν έχουν γρήγορα μοιραία κατάληξη. Ωστόσο, είναι δυνητικά ιάσιμα. Το πιο αντιπροσωπευτικό από αυτά τα λεμφώματα είναι το διάχυτο λέμφωμα από μεγάλα Β- κύτταρα</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Τα</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b/>
          <w:bCs/>
          <w:sz w:val="20"/>
          <w:szCs w:val="20"/>
          <w:lang w:val="el-GR"/>
        </w:rPr>
        <w:t>βραδέως εξελισσόμενα λεμφώματα</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sz w:val="20"/>
          <w:szCs w:val="20"/>
          <w:lang w:val="el-GR"/>
        </w:rPr>
        <w:t>έχουν περισσότερο βραχεία και λανθάνουσα πορεία. Παρουσιάζουν εξέλιξη με χρόνιες υποτροπές και έχουν λιγότερες πιθανότητες ίασης. Το πιο συχνό βραδέως εξελισσόμενο λέμφωμα είναι το οζώδες λέμφωμα</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Η πρόσφατη</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b/>
          <w:bCs/>
          <w:sz w:val="20"/>
          <w:szCs w:val="20"/>
          <w:lang w:val="el-GR"/>
        </w:rPr>
        <w:t>κατάταξη του Π.Ο.Υ.</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sz w:val="20"/>
          <w:szCs w:val="20"/>
          <w:lang w:val="el-GR"/>
        </w:rPr>
        <w:t xml:space="preserve">διακρίνει τα λεμφώματα με βάση τη μικροσκοπική εικόνα τους, τα </w:t>
      </w:r>
      <w:proofErr w:type="spellStart"/>
      <w:r w:rsidRPr="003556C3">
        <w:rPr>
          <w:rFonts w:ascii="Times New Roman" w:eastAsia="Times New Roman" w:hAnsi="Times New Roman" w:cs="Times New Roman"/>
          <w:sz w:val="20"/>
          <w:szCs w:val="20"/>
          <w:lang w:val="el-GR"/>
        </w:rPr>
        <w:t>χρωμοσωμικά</w:t>
      </w:r>
      <w:proofErr w:type="spellEnd"/>
      <w:r w:rsidRPr="003556C3">
        <w:rPr>
          <w:rFonts w:ascii="Times New Roman" w:eastAsia="Times New Roman" w:hAnsi="Times New Roman" w:cs="Times New Roman"/>
          <w:sz w:val="20"/>
          <w:szCs w:val="20"/>
          <w:lang w:val="el-GR"/>
        </w:rPr>
        <w:t xml:space="preserve"> χαρακτηριστικά των </w:t>
      </w:r>
      <w:proofErr w:type="spellStart"/>
      <w:r w:rsidRPr="003556C3">
        <w:rPr>
          <w:rFonts w:ascii="Times New Roman" w:eastAsia="Times New Roman" w:hAnsi="Times New Roman" w:cs="Times New Roman"/>
          <w:sz w:val="20"/>
          <w:szCs w:val="20"/>
          <w:lang w:val="el-GR"/>
        </w:rPr>
        <w:t>λεμφωματωδών</w:t>
      </w:r>
      <w:proofErr w:type="spellEnd"/>
      <w:r w:rsidRPr="003556C3">
        <w:rPr>
          <w:rFonts w:ascii="Times New Roman" w:eastAsia="Times New Roman" w:hAnsi="Times New Roman" w:cs="Times New Roman"/>
          <w:sz w:val="20"/>
          <w:szCs w:val="20"/>
          <w:lang w:val="el-GR"/>
        </w:rPr>
        <w:t xml:space="preserve"> κυττάρων και την έκφραση επιφανειακών πρωτεϊνών. Επομένως, διακρίνονται ως εξής:</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br/>
        <w:t>Λεμφώματα από Β κύτταρα</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 Αντιπροσωπεύουν περίπου το 85% των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λεμφωμάτων.</w:t>
      </w:r>
    </w:p>
    <w:p w:rsidR="003556C3" w:rsidRPr="003556C3" w:rsidRDefault="003556C3" w:rsidP="003556C3">
      <w:pPr>
        <w:numPr>
          <w:ilvl w:val="0"/>
          <w:numId w:val="1"/>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b/>
          <w:bCs/>
          <w:sz w:val="20"/>
          <w:szCs w:val="20"/>
          <w:lang w:val="el-GR"/>
        </w:rPr>
        <w:t>Διάχυτο λέμφωμα από μεγάλα Β-κύτταρα</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sz w:val="20"/>
          <w:szCs w:val="20"/>
          <w:lang w:val="el-GR"/>
        </w:rPr>
        <w:t>(</w:t>
      </w:r>
      <w:r w:rsidRPr="003556C3">
        <w:rPr>
          <w:rFonts w:ascii="Times New Roman" w:eastAsia="Times New Roman" w:hAnsi="Times New Roman" w:cs="Times New Roman"/>
          <w:sz w:val="20"/>
          <w:szCs w:val="20"/>
        </w:rPr>
        <w:t>DLBCL</w:t>
      </w:r>
      <w:r w:rsidRPr="003556C3">
        <w:rPr>
          <w:rFonts w:ascii="Times New Roman" w:eastAsia="Times New Roman" w:hAnsi="Times New Roman" w:cs="Times New Roman"/>
          <w:sz w:val="20"/>
          <w:szCs w:val="20"/>
          <w:lang w:val="el-GR"/>
        </w:rPr>
        <w:t xml:space="preserve"> - </w:t>
      </w:r>
      <w:r w:rsidRPr="003556C3">
        <w:rPr>
          <w:rFonts w:ascii="Times New Roman" w:eastAsia="Times New Roman" w:hAnsi="Times New Roman" w:cs="Times New Roman"/>
          <w:sz w:val="20"/>
          <w:szCs w:val="20"/>
        </w:rPr>
        <w:t>Diffuse</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Large</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B</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Cell</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Lymphoma</w:t>
      </w:r>
      <w:r w:rsidRPr="003556C3">
        <w:rPr>
          <w:rFonts w:ascii="Times New Roman" w:eastAsia="Times New Roman" w:hAnsi="Times New Roman" w:cs="Times New Roman"/>
          <w:sz w:val="20"/>
          <w:szCs w:val="20"/>
          <w:lang w:val="el-GR"/>
        </w:rPr>
        <w:t>): είναι το πλέον συχνό λέμφωμα στις δυτικές χώρες (περίπου 35- 40% επί του συνόλου των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λεμφωμάτων)</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 xml:space="preserve">. Η μέση ηλικία εμφάνισης είναι γύρω στα 65 έτη. Όπως σε όλες τις περιπτώσεις </w:t>
      </w:r>
      <w:r w:rsidRPr="003556C3">
        <w:rPr>
          <w:rFonts w:ascii="Times New Roman" w:eastAsia="Times New Roman" w:hAnsi="Times New Roman" w:cs="Times New Roman"/>
          <w:sz w:val="20"/>
          <w:szCs w:val="20"/>
        </w:rPr>
        <w:t>NHL</w:t>
      </w:r>
      <w:r w:rsidRPr="003556C3">
        <w:rPr>
          <w:rFonts w:ascii="Times New Roman" w:eastAsia="Times New Roman" w:hAnsi="Times New Roman" w:cs="Times New Roman"/>
          <w:sz w:val="20"/>
          <w:szCs w:val="20"/>
          <w:lang w:val="el-GR"/>
        </w:rPr>
        <w:t xml:space="preserve"> το συχνότερο εύρημα είναι η διόγκωση λεμφαδένων. Περίπου το 25% διαγιγνώσκονται στα αρχικά στάδια (Ι-ΙΙ) και 75% σε προχωρημένα στάδια (στάδιο ΙΙ με ογκώδη νόσο, σταδία ΙΙΙ-Ι</w:t>
      </w:r>
      <w:r w:rsidRPr="003556C3">
        <w:rPr>
          <w:rFonts w:ascii="Times New Roman" w:eastAsia="Times New Roman" w:hAnsi="Times New Roman" w:cs="Times New Roman"/>
          <w:sz w:val="20"/>
          <w:szCs w:val="20"/>
        </w:rPr>
        <w:t>V</w:t>
      </w:r>
      <w:r w:rsidRPr="003556C3">
        <w:rPr>
          <w:rFonts w:ascii="Times New Roman" w:eastAsia="Times New Roman" w:hAnsi="Times New Roman" w:cs="Times New Roman"/>
          <w:sz w:val="20"/>
          <w:szCs w:val="20"/>
          <w:lang w:val="el-GR"/>
        </w:rPr>
        <w:t>)</w:t>
      </w:r>
      <w:r w:rsidRPr="00E93162">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 xml:space="preserve">. Συχνή είναι η εντόπιση σε </w:t>
      </w:r>
      <w:proofErr w:type="spellStart"/>
      <w:r w:rsidRPr="003556C3">
        <w:rPr>
          <w:rFonts w:ascii="Times New Roman" w:eastAsia="Times New Roman" w:hAnsi="Times New Roman" w:cs="Times New Roman"/>
          <w:sz w:val="20"/>
          <w:szCs w:val="20"/>
          <w:lang w:val="el-GR"/>
        </w:rPr>
        <w:t>εξωλεμφαδενική</w:t>
      </w:r>
      <w:proofErr w:type="spellEnd"/>
      <w:r w:rsidRPr="003556C3">
        <w:rPr>
          <w:rFonts w:ascii="Times New Roman" w:eastAsia="Times New Roman" w:hAnsi="Times New Roman" w:cs="Times New Roman"/>
          <w:sz w:val="20"/>
          <w:szCs w:val="20"/>
          <w:lang w:val="el-GR"/>
        </w:rPr>
        <w:t xml:space="preserve"> θέση (στο 40% των περιπτώσεων) και η θέση που εμπλέκεται περισσότερο στη διάγνωση είναι το γαστρεντερικό σύστημα.</w:t>
      </w:r>
      <w:r w:rsidR="00E93162">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lang w:val="el-GR"/>
        </w:rPr>
        <w:t xml:space="preserve">Γενικά το </w:t>
      </w:r>
      <w:r w:rsidRPr="003556C3">
        <w:rPr>
          <w:rFonts w:ascii="Times New Roman" w:eastAsia="Times New Roman" w:hAnsi="Times New Roman" w:cs="Times New Roman"/>
          <w:sz w:val="20"/>
          <w:szCs w:val="20"/>
        </w:rPr>
        <w:t>DLBCL</w:t>
      </w:r>
      <w:r w:rsidRPr="003556C3">
        <w:rPr>
          <w:rFonts w:ascii="Times New Roman" w:eastAsia="Times New Roman" w:hAnsi="Times New Roman" w:cs="Times New Roman"/>
          <w:sz w:val="20"/>
          <w:szCs w:val="20"/>
          <w:lang w:val="el-GR"/>
        </w:rPr>
        <w:t xml:space="preserve"> είναι ένα λέμφωμα με γρήγορη ανάπτυξη, αλλά ανταποκρίνεται συχνά καλά στη θεραπεία και περίπου οι μισοί ασθενείς οδηγούνται σε πλήρη ίαση.</w:t>
      </w:r>
    </w:p>
    <w:p w:rsidR="003556C3" w:rsidRPr="003556C3" w:rsidRDefault="003556C3" w:rsidP="003556C3">
      <w:pPr>
        <w:numPr>
          <w:ilvl w:val="0"/>
          <w:numId w:val="1"/>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b/>
          <w:bCs/>
          <w:sz w:val="20"/>
          <w:szCs w:val="20"/>
          <w:lang w:val="el-GR"/>
        </w:rPr>
        <w:t>Οζώδες λέμφωμα (</w:t>
      </w:r>
      <w:proofErr w:type="spellStart"/>
      <w:r w:rsidRPr="003556C3">
        <w:rPr>
          <w:rFonts w:ascii="Times New Roman" w:eastAsia="Times New Roman" w:hAnsi="Times New Roman" w:cs="Times New Roman"/>
          <w:b/>
          <w:bCs/>
          <w:sz w:val="20"/>
          <w:szCs w:val="20"/>
          <w:lang w:val="el-GR"/>
        </w:rPr>
        <w:t>λεμφοζιδιακό</w:t>
      </w:r>
      <w:proofErr w:type="spellEnd"/>
      <w:r w:rsidRPr="003556C3">
        <w:rPr>
          <w:rFonts w:ascii="Times New Roman" w:eastAsia="Times New Roman" w:hAnsi="Times New Roman" w:cs="Times New Roman"/>
          <w:b/>
          <w:bCs/>
          <w:sz w:val="20"/>
          <w:szCs w:val="20"/>
          <w:lang w:val="el-GR"/>
        </w:rPr>
        <w:t xml:space="preserve"> λέμφωμα – ΛΛ):</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sz w:val="20"/>
          <w:szCs w:val="20"/>
          <w:lang w:val="el-GR"/>
        </w:rPr>
        <w:t xml:space="preserve">Τα οζώδη λεμφώματα είναι ο δεύτερος σε συχνότητα τύπος </w:t>
      </w:r>
      <w:r w:rsidRPr="003556C3">
        <w:rPr>
          <w:rFonts w:ascii="Times New Roman" w:eastAsia="Times New Roman" w:hAnsi="Times New Roman" w:cs="Times New Roman"/>
          <w:sz w:val="20"/>
          <w:szCs w:val="20"/>
        </w:rPr>
        <w:t>NHL</w:t>
      </w:r>
      <w:r w:rsidRPr="003556C3">
        <w:rPr>
          <w:rFonts w:ascii="Times New Roman" w:eastAsia="Times New Roman" w:hAnsi="Times New Roman" w:cs="Times New Roman"/>
          <w:sz w:val="20"/>
          <w:szCs w:val="20"/>
          <w:lang w:val="el-GR"/>
        </w:rPr>
        <w:t xml:space="preserve"> μετά τα διάχυτα λεμφώματα από μεγάλα Β-λεμφοκύτταρα. Χαρακτηρίζονται από προοδευτική διόγκωση των λεμφαδένων, συνήθως χωρίς </w:t>
      </w:r>
      <w:proofErr w:type="spellStart"/>
      <w:r w:rsidRPr="003556C3">
        <w:rPr>
          <w:rFonts w:ascii="Times New Roman" w:eastAsia="Times New Roman" w:hAnsi="Times New Roman" w:cs="Times New Roman"/>
          <w:sz w:val="20"/>
          <w:szCs w:val="20"/>
          <w:lang w:val="el-GR"/>
        </w:rPr>
        <w:t>εξωλεμφαδενικές</w:t>
      </w:r>
      <w:proofErr w:type="spellEnd"/>
      <w:r w:rsidRPr="003556C3">
        <w:rPr>
          <w:rFonts w:ascii="Times New Roman" w:eastAsia="Times New Roman" w:hAnsi="Times New Roman" w:cs="Times New Roman"/>
          <w:sz w:val="20"/>
          <w:szCs w:val="20"/>
          <w:lang w:val="el-GR"/>
        </w:rPr>
        <w:t xml:space="preserve"> εντοπίσεις και Β </w:t>
      </w:r>
      <w:proofErr w:type="spellStart"/>
      <w:r w:rsidRPr="003556C3">
        <w:rPr>
          <w:rFonts w:ascii="Times New Roman" w:eastAsia="Times New Roman" w:hAnsi="Times New Roman" w:cs="Times New Roman"/>
          <w:sz w:val="20"/>
          <w:szCs w:val="20"/>
          <w:lang w:val="el-GR"/>
        </w:rPr>
        <w:t>συμπωματολογία</w:t>
      </w:r>
      <w:proofErr w:type="spellEnd"/>
      <w:r w:rsidRPr="003556C3">
        <w:rPr>
          <w:rFonts w:ascii="Times New Roman" w:eastAsia="Times New Roman" w:hAnsi="Times New Roman" w:cs="Times New Roman"/>
          <w:sz w:val="20"/>
          <w:szCs w:val="20"/>
          <w:lang w:val="el-GR"/>
        </w:rPr>
        <w:t>. Τα οζώδη λεμφώματα αντιπροσωπεύουν περίπου το 20% των λεμφωμάτων</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r w:rsidRPr="003556C3">
        <w:rPr>
          <w:rFonts w:ascii="Times New Roman" w:eastAsia="Times New Roman" w:hAnsi="Times New Roman" w:cs="Times New Roman"/>
          <w:sz w:val="20"/>
          <w:szCs w:val="20"/>
          <w:lang w:val="el-GR"/>
        </w:rPr>
        <w:br/>
        <w:t xml:space="preserve">Η μέση ηλικία εμφάνισης είναι τα 60 έτη περίπου και προσβάλει πιο συχνά τις γυναίκες. Οι περισσότεροι ασθενείς παρουσιάζουν ανώδυνη γενικευμένη </w:t>
      </w:r>
      <w:proofErr w:type="spellStart"/>
      <w:r w:rsidRPr="003556C3">
        <w:rPr>
          <w:rFonts w:ascii="Times New Roman" w:eastAsia="Times New Roman" w:hAnsi="Times New Roman" w:cs="Times New Roman"/>
          <w:sz w:val="20"/>
          <w:szCs w:val="20"/>
          <w:lang w:val="el-GR"/>
        </w:rPr>
        <w:t>λεμφαδενοπάθεια</w:t>
      </w:r>
      <w:proofErr w:type="spellEnd"/>
      <w:r w:rsidRPr="003556C3">
        <w:rPr>
          <w:rFonts w:ascii="Times New Roman" w:eastAsia="Times New Roman" w:hAnsi="Times New Roman" w:cs="Times New Roman"/>
          <w:sz w:val="20"/>
          <w:szCs w:val="20"/>
          <w:lang w:val="el-GR"/>
        </w:rPr>
        <w:t xml:space="preserve"> ενώ σύνηθες εύρημα είναι η διόγκωση του </w:t>
      </w:r>
      <w:proofErr w:type="spellStart"/>
      <w:r w:rsidRPr="003556C3">
        <w:rPr>
          <w:rFonts w:ascii="Times New Roman" w:eastAsia="Times New Roman" w:hAnsi="Times New Roman" w:cs="Times New Roman"/>
          <w:sz w:val="20"/>
          <w:szCs w:val="20"/>
          <w:lang w:val="el-GR"/>
        </w:rPr>
        <w:t>σπληνός</w:t>
      </w:r>
      <w:proofErr w:type="spellEnd"/>
      <w:r w:rsidRPr="003556C3">
        <w:rPr>
          <w:rFonts w:ascii="Times New Roman" w:eastAsia="Times New Roman" w:hAnsi="Times New Roman" w:cs="Times New Roman"/>
          <w:sz w:val="20"/>
          <w:szCs w:val="20"/>
          <w:lang w:val="el-GR"/>
        </w:rPr>
        <w:t xml:space="preserve"> και η προσβολή του μυελού (διήθηση μυελού των οστών ανευρίσκεται στο 40-70% των περιπτώσεων)</w:t>
      </w:r>
      <w:r w:rsidR="00E93162" w:rsidRPr="00E93162">
        <w:rPr>
          <w:rFonts w:ascii="Times New Roman" w:eastAsia="Times New Roman" w:hAnsi="Times New Roman" w:cs="Times New Roman"/>
          <w:sz w:val="20"/>
          <w:szCs w:val="20"/>
          <w:vertAlign w:val="superscript"/>
          <w:lang w:val="el-GR"/>
        </w:rPr>
        <w:t>3</w:t>
      </w:r>
      <w:r w:rsidRPr="003556C3">
        <w:rPr>
          <w:rFonts w:ascii="Times New Roman" w:eastAsia="Times New Roman" w:hAnsi="Times New Roman" w:cs="Times New Roman"/>
          <w:sz w:val="20"/>
          <w:szCs w:val="20"/>
          <w:lang w:val="el-GR"/>
        </w:rPr>
        <w:t>. Το Οζώδες λέμφωμα γενικά θεωρείται ανίατο νόσημα, η διάμεση επιβίωση των ασθενών με τις τρέχουσες θεραπευτικές επιλογές ξεπερνά πλέον τα 10 έτη. Πρόκειται για λεμφώματα με συχνά βραδεία εξέλιξη και ανταποκρίνονται καλά στην θεραπεία, αλλά η ίαση είναι δύσκολη.</w:t>
      </w:r>
    </w:p>
    <w:p w:rsidR="003556C3" w:rsidRPr="003556C3" w:rsidRDefault="003556C3" w:rsidP="003556C3">
      <w:pPr>
        <w:numPr>
          <w:ilvl w:val="0"/>
          <w:numId w:val="1"/>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b/>
          <w:bCs/>
          <w:sz w:val="20"/>
          <w:szCs w:val="20"/>
          <w:lang w:val="el-GR"/>
        </w:rPr>
        <w:t>Χρόνια λεμφοκυτταρική λευχαιμία</w:t>
      </w:r>
      <w:r w:rsidRPr="003556C3">
        <w:rPr>
          <w:rFonts w:ascii="Times New Roman" w:eastAsia="Times New Roman" w:hAnsi="Times New Roman" w:cs="Times New Roman"/>
          <w:sz w:val="20"/>
          <w:szCs w:val="20"/>
        </w:rPr>
        <w:t> </w:t>
      </w:r>
      <w:r w:rsidRPr="003556C3">
        <w:rPr>
          <w:rFonts w:ascii="Times New Roman" w:eastAsia="Times New Roman" w:hAnsi="Times New Roman" w:cs="Times New Roman"/>
          <w:sz w:val="20"/>
          <w:szCs w:val="20"/>
          <w:lang w:val="el-GR"/>
        </w:rPr>
        <w:t>(ΧΛΛ)/ λεμφοκυτταρικό λέμφωμα από μικρά λεμφοκύτταρα (ΛΛΜΛ): πρόκειται για δύο στενά συνδεδεμένες μορφές, οι οποίες χαρακτηρίζονται από τον ίδιο τύπο νεοπλαστιών κυττάρων.</w:t>
      </w:r>
      <w:r w:rsidRPr="003556C3">
        <w:rPr>
          <w:rFonts w:ascii="Times New Roman" w:eastAsia="Times New Roman" w:hAnsi="Times New Roman" w:cs="Times New Roman"/>
          <w:sz w:val="20"/>
          <w:szCs w:val="20"/>
          <w:lang w:val="el-GR"/>
        </w:rPr>
        <w:br/>
        <w:t>Η μόνη διαφορά είναι η θέση εντόπισης των νεοπλαστιών κυττάρων: στη ΧΛΛ ανευρίσκονται κυρίως στο αίμα κα</w:t>
      </w:r>
      <w:r w:rsidR="00B16DBA">
        <w:rPr>
          <w:rFonts w:ascii="Times New Roman" w:eastAsia="Times New Roman" w:hAnsi="Times New Roman" w:cs="Times New Roman"/>
          <w:sz w:val="20"/>
          <w:szCs w:val="20"/>
          <w:lang w:val="el-GR"/>
        </w:rPr>
        <w:t>ι στον μυελό των οστών ενώ στη</w:t>
      </w:r>
      <w:r w:rsidRPr="003556C3">
        <w:rPr>
          <w:rFonts w:ascii="Times New Roman" w:eastAsia="Times New Roman" w:hAnsi="Times New Roman" w:cs="Times New Roman"/>
          <w:sz w:val="20"/>
          <w:szCs w:val="20"/>
          <w:lang w:val="el-GR"/>
        </w:rPr>
        <w:t xml:space="preserve"> ΛΛΜΛ ανευρίσκονται κυρίως στους λεμφαδένες και τον σπλήνα. Και οι δύο μορφές είναι βραδείας εξέλιξης, κυρίως η ΧΛΛ. Η θεραπεία είναι η ίδια. Η επιβίωση υπερβαίνει τα 10 έτη για το μεγαλύτερο ποσοστό των ασθενών. Μερικές φορές, και αυτές οι μορφές μετατρέπονται σε τύπους επιθετικότερων λεμφωμάτων</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w:t>
      </w:r>
    </w:p>
    <w:p w:rsidR="003556C3" w:rsidRPr="003556C3" w:rsidRDefault="003556C3" w:rsidP="003556C3">
      <w:pPr>
        <w:numPr>
          <w:ilvl w:val="0"/>
          <w:numId w:val="1"/>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b/>
          <w:bCs/>
          <w:sz w:val="20"/>
          <w:szCs w:val="20"/>
          <w:lang w:val="el-GR"/>
        </w:rPr>
        <w:t>Άλλες μορφές</w:t>
      </w:r>
      <w:r w:rsidR="00E93162">
        <w:rPr>
          <w:rFonts w:ascii="Times New Roman" w:eastAsia="Times New Roman" w:hAnsi="Times New Roman" w:cs="Times New Roman"/>
          <w:sz w:val="20"/>
          <w:szCs w:val="20"/>
          <w:lang w:val="el-GR"/>
        </w:rPr>
        <w:t xml:space="preserve">: λιγότερο συχνά είναι </w:t>
      </w:r>
      <w:r w:rsidRPr="003556C3">
        <w:rPr>
          <w:rFonts w:ascii="Times New Roman" w:eastAsia="Times New Roman" w:hAnsi="Times New Roman" w:cs="Times New Roman"/>
          <w:sz w:val="20"/>
          <w:szCs w:val="20"/>
          <w:lang w:val="el-GR"/>
        </w:rPr>
        <w:t xml:space="preserve">το λέμφωμα από κύτταρα του μανδύα, το λέμφωμα οριακής ζώνης, το λέμφωμα </w:t>
      </w:r>
      <w:r w:rsidR="003B651E">
        <w:rPr>
          <w:rFonts w:ascii="Times New Roman" w:eastAsia="Times New Roman" w:hAnsi="Times New Roman" w:cs="Times New Roman"/>
          <w:sz w:val="20"/>
          <w:szCs w:val="20"/>
        </w:rPr>
        <w:t>Burki</w:t>
      </w:r>
      <w:bookmarkStart w:id="0" w:name="_GoBack"/>
      <w:bookmarkEnd w:id="0"/>
      <w:r w:rsidRPr="003556C3">
        <w:rPr>
          <w:rFonts w:ascii="Times New Roman" w:eastAsia="Times New Roman" w:hAnsi="Times New Roman" w:cs="Times New Roman"/>
          <w:sz w:val="20"/>
          <w:szCs w:val="20"/>
        </w:rPr>
        <w:t>tt</w:t>
      </w:r>
      <w:r w:rsidRPr="003556C3">
        <w:rPr>
          <w:rFonts w:ascii="Times New Roman" w:eastAsia="Times New Roman" w:hAnsi="Times New Roman" w:cs="Times New Roman"/>
          <w:sz w:val="20"/>
          <w:szCs w:val="20"/>
          <w:lang w:val="el-GR"/>
        </w:rPr>
        <w:t xml:space="preserve">, το </w:t>
      </w:r>
      <w:proofErr w:type="spellStart"/>
      <w:r w:rsidRPr="003556C3">
        <w:rPr>
          <w:rFonts w:ascii="Times New Roman" w:eastAsia="Times New Roman" w:hAnsi="Times New Roman" w:cs="Times New Roman"/>
          <w:sz w:val="20"/>
          <w:szCs w:val="20"/>
          <w:lang w:val="el-GR"/>
        </w:rPr>
        <w:t>λεμφοπλασματοκυτταρικό</w:t>
      </w:r>
      <w:proofErr w:type="spellEnd"/>
      <w:r w:rsidRPr="003556C3">
        <w:rPr>
          <w:rFonts w:ascii="Times New Roman" w:eastAsia="Times New Roman" w:hAnsi="Times New Roman" w:cs="Times New Roman"/>
          <w:sz w:val="20"/>
          <w:szCs w:val="20"/>
          <w:lang w:val="el-GR"/>
        </w:rPr>
        <w:t xml:space="preserve"> λέμφωμα (ή </w:t>
      </w:r>
      <w:proofErr w:type="spellStart"/>
      <w:r w:rsidRPr="003556C3">
        <w:rPr>
          <w:rFonts w:ascii="Times New Roman" w:eastAsia="Times New Roman" w:hAnsi="Times New Roman" w:cs="Times New Roman"/>
          <w:sz w:val="20"/>
          <w:szCs w:val="20"/>
          <w:lang w:val="el-GR"/>
        </w:rPr>
        <w:t>μακροσφαιριναιμία</w:t>
      </w:r>
      <w:proofErr w:type="spellEnd"/>
      <w:r w:rsidRPr="003556C3">
        <w:rPr>
          <w:rFonts w:ascii="Times New Roman" w:eastAsia="Times New Roman" w:hAnsi="Times New Roman" w:cs="Times New Roman"/>
          <w:sz w:val="20"/>
          <w:szCs w:val="20"/>
          <w:lang w:val="el-GR"/>
        </w:rPr>
        <w:t xml:space="preserve"> του </w:t>
      </w:r>
      <w:proofErr w:type="spellStart"/>
      <w:r w:rsidRPr="003556C3">
        <w:rPr>
          <w:rFonts w:ascii="Times New Roman" w:eastAsia="Times New Roman" w:hAnsi="Times New Roman" w:cs="Times New Roman"/>
          <w:sz w:val="20"/>
          <w:szCs w:val="20"/>
        </w:rPr>
        <w:lastRenderedPageBreak/>
        <w:t>Waldenstrom</w:t>
      </w:r>
      <w:proofErr w:type="spellEnd"/>
      <w:r w:rsidRPr="003556C3">
        <w:rPr>
          <w:rFonts w:ascii="Times New Roman" w:eastAsia="Times New Roman" w:hAnsi="Times New Roman" w:cs="Times New Roman"/>
          <w:sz w:val="20"/>
          <w:szCs w:val="20"/>
          <w:lang w:val="el-GR"/>
        </w:rPr>
        <w:t>), η λευχαιμία των τριχωτών κυττάρων (</w:t>
      </w:r>
      <w:r w:rsidRPr="003556C3">
        <w:rPr>
          <w:rFonts w:ascii="Times New Roman" w:eastAsia="Times New Roman" w:hAnsi="Times New Roman" w:cs="Times New Roman"/>
          <w:sz w:val="20"/>
          <w:szCs w:val="20"/>
        </w:rPr>
        <w:t>hairy</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cell</w:t>
      </w:r>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leukemia</w:t>
      </w:r>
      <w:r w:rsidRPr="003556C3">
        <w:rPr>
          <w:rFonts w:ascii="Times New Roman" w:eastAsia="Times New Roman" w:hAnsi="Times New Roman" w:cs="Times New Roman"/>
          <w:sz w:val="20"/>
          <w:szCs w:val="20"/>
          <w:lang w:val="el-GR"/>
        </w:rPr>
        <w:t>), το πρωτοπαθές λέμφωμα του κεντρικού νευρικού συστήματος</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w:t>
      </w:r>
    </w:p>
    <w:p w:rsidR="003556C3" w:rsidRPr="00E93162"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Λεμφώματα από Τ-κύτταρα</w:t>
      </w:r>
      <w:r w:rsidRPr="003556C3">
        <w:rPr>
          <w:rFonts w:ascii="Times New Roman" w:eastAsia="Times New Roman" w:hAnsi="Times New Roman" w:cs="Times New Roman"/>
          <w:sz w:val="20"/>
          <w:szCs w:val="20"/>
          <w:vertAlign w:val="superscript"/>
          <w:lang w:val="el-GR"/>
        </w:rPr>
        <w:t>1</w:t>
      </w:r>
      <w:r w:rsidRPr="003556C3">
        <w:rPr>
          <w:rFonts w:ascii="Times New Roman" w:eastAsia="Times New Roman" w:hAnsi="Times New Roman" w:cs="Times New Roman"/>
          <w:sz w:val="20"/>
          <w:szCs w:val="20"/>
          <w:lang w:val="el-GR"/>
        </w:rPr>
        <w:t>: Υπάρχουν πολλοί τύποι, αλλά είναι μάλλον σπάνια και αντιπροσωπεύουν το 15% των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λεμφωμάτων. </w:t>
      </w:r>
    </w:p>
    <w:p w:rsidR="003556C3" w:rsidRPr="00B3476E" w:rsidRDefault="003556C3" w:rsidP="008E132C">
      <w:pPr>
        <w:spacing w:before="100" w:beforeAutospacing="1" w:after="100" w:afterAutospacing="1" w:line="240" w:lineRule="auto"/>
        <w:outlineLvl w:val="1"/>
        <w:rPr>
          <w:rFonts w:ascii="Times New Roman" w:eastAsia="Times New Roman" w:hAnsi="Times New Roman" w:cs="Times New Roman"/>
          <w:b/>
          <w:bCs/>
          <w:szCs w:val="20"/>
          <w:lang w:val="el-GR"/>
        </w:rPr>
      </w:pPr>
      <w:r w:rsidRPr="00B3476E">
        <w:rPr>
          <w:rFonts w:ascii="Times New Roman" w:eastAsia="Times New Roman" w:hAnsi="Times New Roman" w:cs="Times New Roman"/>
          <w:b/>
          <w:bCs/>
          <w:szCs w:val="20"/>
          <w:lang w:val="el-GR"/>
        </w:rPr>
        <w:t>Επιδημιολογία</w:t>
      </w:r>
    </w:p>
    <w:p w:rsidR="008E132C" w:rsidRPr="00E93162" w:rsidRDefault="003556C3" w:rsidP="00E93162">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Συνολικά τα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(Ν</w:t>
      </w:r>
      <w:r w:rsidRPr="003556C3">
        <w:rPr>
          <w:rFonts w:ascii="Times New Roman" w:eastAsia="Times New Roman" w:hAnsi="Times New Roman" w:cs="Times New Roman"/>
          <w:sz w:val="20"/>
          <w:szCs w:val="20"/>
        </w:rPr>
        <w:t>HL</w:t>
      </w:r>
      <w:r w:rsidRPr="003556C3">
        <w:rPr>
          <w:rFonts w:ascii="Times New Roman" w:eastAsia="Times New Roman" w:hAnsi="Times New Roman" w:cs="Times New Roman"/>
          <w:sz w:val="20"/>
          <w:szCs w:val="20"/>
          <w:lang w:val="el-GR"/>
        </w:rPr>
        <w:t>) λεμφώματα είναι η πιο συχνή αιματολογική νεοπλασία. Η επίπτωση στο γενικό πληθυσμό είναι 10-12 περιπτώσεις/100,000 πληθυσμού ετησίως</w:t>
      </w:r>
      <w:r w:rsidRPr="00E93162">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 xml:space="preserve">. Αποτελούν το 4% επί του συνόλου των κακοήθων όγκων. Η συχνότητα των διαφόρων υποομάδων </w:t>
      </w:r>
      <w:r w:rsidR="00B16DBA" w:rsidRPr="003556C3">
        <w:rPr>
          <w:rFonts w:ascii="Times New Roman" w:eastAsia="Times New Roman" w:hAnsi="Times New Roman" w:cs="Times New Roman"/>
          <w:sz w:val="20"/>
          <w:szCs w:val="20"/>
          <w:lang w:val="el-GR"/>
        </w:rPr>
        <w:t>έχει</w:t>
      </w:r>
      <w:r w:rsidRPr="003556C3">
        <w:rPr>
          <w:rFonts w:ascii="Times New Roman" w:eastAsia="Times New Roman" w:hAnsi="Times New Roman" w:cs="Times New Roman"/>
          <w:sz w:val="20"/>
          <w:szCs w:val="20"/>
          <w:lang w:val="el-GR"/>
        </w:rPr>
        <w:t xml:space="preserve"> σχέση με το φύλο και την ηλικία των ασθενών. Η προσβολή είναι συχνότερη στους άνδρες από ότι στις γυναίκες. Μολονότι τα </w:t>
      </w:r>
      <w:r w:rsidRPr="003556C3">
        <w:rPr>
          <w:rFonts w:ascii="Times New Roman" w:eastAsia="Times New Roman" w:hAnsi="Times New Roman" w:cs="Times New Roman"/>
          <w:sz w:val="20"/>
          <w:szCs w:val="20"/>
        </w:rPr>
        <w:t>NHL</w:t>
      </w:r>
      <w:r w:rsidRPr="003556C3">
        <w:rPr>
          <w:rFonts w:ascii="Times New Roman" w:eastAsia="Times New Roman" w:hAnsi="Times New Roman" w:cs="Times New Roman"/>
          <w:sz w:val="20"/>
          <w:szCs w:val="20"/>
          <w:lang w:val="el-GR"/>
        </w:rPr>
        <w:t xml:space="preserve"> απαρτίζουν το 10% όλων των νεοπλασιών της παιδικής ηλικίας, η επίπτωση </w:t>
      </w:r>
      <w:r w:rsidR="00B16DBA" w:rsidRPr="003556C3">
        <w:rPr>
          <w:rFonts w:ascii="Times New Roman" w:eastAsia="Times New Roman" w:hAnsi="Times New Roman" w:cs="Times New Roman"/>
          <w:sz w:val="20"/>
          <w:szCs w:val="20"/>
          <w:lang w:val="el-GR"/>
        </w:rPr>
        <w:t>αυτών</w:t>
      </w:r>
      <w:r w:rsidRPr="003556C3">
        <w:rPr>
          <w:rFonts w:ascii="Times New Roman" w:eastAsia="Times New Roman" w:hAnsi="Times New Roman" w:cs="Times New Roman"/>
          <w:sz w:val="20"/>
          <w:szCs w:val="20"/>
          <w:lang w:val="el-GR"/>
        </w:rPr>
        <w:t xml:space="preserve"> είναι συχνότερη στους ενήλικους. Η εμφάνισή τους αυξάνει με την πάροδο του χρόνου ιδιαίτερα μετά την ηλικία των 40 ετών</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3556C3" w:rsidRPr="00B3476E" w:rsidRDefault="003556C3" w:rsidP="003556C3">
      <w:pPr>
        <w:spacing w:before="100" w:beforeAutospacing="1" w:after="100" w:afterAutospacing="1" w:line="240" w:lineRule="auto"/>
        <w:outlineLvl w:val="1"/>
        <w:rPr>
          <w:rFonts w:ascii="Times New Roman" w:eastAsia="Times New Roman" w:hAnsi="Times New Roman" w:cs="Times New Roman"/>
          <w:b/>
          <w:bCs/>
          <w:szCs w:val="20"/>
          <w:lang w:val="el-GR"/>
        </w:rPr>
      </w:pPr>
      <w:r w:rsidRPr="00B3476E">
        <w:rPr>
          <w:rFonts w:ascii="Times New Roman" w:eastAsia="Times New Roman" w:hAnsi="Times New Roman" w:cs="Times New Roman"/>
          <w:b/>
          <w:bCs/>
          <w:szCs w:val="20"/>
          <w:lang w:val="el-GR"/>
        </w:rPr>
        <w:t>Προδιάθεση και παράγοντες κινδύνου</w:t>
      </w:r>
    </w:p>
    <w:p w:rsidR="003556C3" w:rsidRPr="003556C3"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Συνολικά, τα λεμφώματα είναι περισσότερο διαδεδομένα στον δυτικό κόσμο σε σχέση με τις αναπτυσσόμενες χώρες, ενώ στην Ευρώπη και τις Η.Π.Α. εμφανίζουν την πιο αυξημένη συχνότητα. Ορισμένα λεμφώματα σχετίζονται με ειδικές λοιμώξεις ή είναι συχνότερα σε ορισμένες χώρες</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3556C3" w:rsidRPr="00E93162" w:rsidRDefault="003556C3" w:rsidP="003556C3">
      <w:p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 xml:space="preserve">Υπάρχουν πολλοί παράγοντες, οι οποίοι δύνανται να αυξήσουν την πιθανότητα </w:t>
      </w:r>
      <w:proofErr w:type="spellStart"/>
      <w:r w:rsidRPr="003556C3">
        <w:rPr>
          <w:rFonts w:ascii="Times New Roman" w:eastAsia="Times New Roman" w:hAnsi="Times New Roman" w:cs="Times New Roman"/>
          <w:sz w:val="20"/>
          <w:szCs w:val="20"/>
          <w:lang w:val="el-GR"/>
        </w:rPr>
        <w:t>νόσησης</w:t>
      </w:r>
      <w:proofErr w:type="spellEnd"/>
      <w:r w:rsidRPr="003556C3">
        <w:rPr>
          <w:rFonts w:ascii="Times New Roman" w:eastAsia="Times New Roman" w:hAnsi="Times New Roman" w:cs="Times New Roman"/>
          <w:sz w:val="20"/>
          <w:szCs w:val="20"/>
          <w:lang w:val="el-GR"/>
        </w:rPr>
        <w:t xml:space="preserve"> από λέμφωμα. Στη συνέχεια, αναφέρονται οι συγκεκριμένοι παράγοντες, ορισμένοι εκ των οποίων σχετίζονται με ορισμένους τύπους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λεμφώματος (Ν</w:t>
      </w:r>
      <w:r w:rsidRPr="003556C3">
        <w:rPr>
          <w:rFonts w:ascii="Times New Roman" w:eastAsia="Times New Roman" w:hAnsi="Times New Roman" w:cs="Times New Roman"/>
          <w:sz w:val="20"/>
          <w:szCs w:val="20"/>
        </w:rPr>
        <w:t>HL</w:t>
      </w:r>
      <w:r w:rsidR="00E93162">
        <w:rPr>
          <w:rFonts w:ascii="Times New Roman" w:eastAsia="Times New Roman" w:hAnsi="Times New Roman" w:cs="Times New Roman"/>
          <w:sz w:val="20"/>
          <w:szCs w:val="20"/>
          <w:lang w:val="el-GR"/>
        </w:rPr>
        <w:t>)</w:t>
      </w:r>
      <w:r w:rsidR="00E93162" w:rsidRPr="00E93162">
        <w:rPr>
          <w:rFonts w:ascii="Times New Roman" w:eastAsia="Times New Roman" w:hAnsi="Times New Roman" w:cs="Times New Roman"/>
          <w:sz w:val="20"/>
          <w:szCs w:val="20"/>
          <w:lang w:val="el-GR"/>
        </w:rPr>
        <w:t>.</w:t>
      </w:r>
    </w:p>
    <w:p w:rsidR="003556C3" w:rsidRPr="003556C3" w:rsidRDefault="003556C3" w:rsidP="003556C3">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556C3">
        <w:rPr>
          <w:rFonts w:ascii="Times New Roman" w:eastAsia="Times New Roman" w:hAnsi="Times New Roman" w:cs="Times New Roman"/>
          <w:sz w:val="20"/>
          <w:szCs w:val="20"/>
          <w:lang w:val="el-GR"/>
        </w:rPr>
        <w:t xml:space="preserve">Ηλικία: Η ηλικία είναι ένας σοβαρός παράγοντας κινδύνου για τα λεμφώματα εν γένει. </w:t>
      </w:r>
      <w:r w:rsidRPr="003556C3">
        <w:rPr>
          <w:rFonts w:ascii="Times New Roman" w:eastAsia="Times New Roman" w:hAnsi="Times New Roman" w:cs="Times New Roman"/>
          <w:sz w:val="20"/>
          <w:szCs w:val="20"/>
        </w:rPr>
        <w:t xml:space="preserve">Η </w:t>
      </w:r>
      <w:proofErr w:type="spellStart"/>
      <w:r w:rsidRPr="003556C3">
        <w:rPr>
          <w:rFonts w:ascii="Times New Roman" w:eastAsia="Times New Roman" w:hAnsi="Times New Roman" w:cs="Times New Roman"/>
          <w:sz w:val="20"/>
          <w:szCs w:val="20"/>
        </w:rPr>
        <w:t>διάγνωση</w:t>
      </w:r>
      <w:proofErr w:type="spellEnd"/>
      <w:r w:rsidRPr="003556C3">
        <w:rPr>
          <w:rFonts w:ascii="Times New Roman" w:eastAsia="Times New Roman" w:hAnsi="Times New Roman" w:cs="Times New Roman"/>
          <w:sz w:val="20"/>
          <w:szCs w:val="20"/>
        </w:rPr>
        <w:t xml:space="preserve"> </w:t>
      </w:r>
      <w:proofErr w:type="spellStart"/>
      <w:r w:rsidRPr="003556C3">
        <w:rPr>
          <w:rFonts w:ascii="Times New Roman" w:eastAsia="Times New Roman" w:hAnsi="Times New Roman" w:cs="Times New Roman"/>
          <w:sz w:val="20"/>
          <w:szCs w:val="20"/>
        </w:rPr>
        <w:t>συχνά</w:t>
      </w:r>
      <w:proofErr w:type="spellEnd"/>
      <w:r w:rsidRPr="003556C3">
        <w:rPr>
          <w:rFonts w:ascii="Times New Roman" w:eastAsia="Times New Roman" w:hAnsi="Times New Roman" w:cs="Times New Roman"/>
          <w:sz w:val="20"/>
          <w:szCs w:val="20"/>
        </w:rPr>
        <w:t xml:space="preserve"> πρα</w:t>
      </w:r>
      <w:proofErr w:type="spellStart"/>
      <w:r w:rsidRPr="003556C3">
        <w:rPr>
          <w:rFonts w:ascii="Times New Roman" w:eastAsia="Times New Roman" w:hAnsi="Times New Roman" w:cs="Times New Roman"/>
          <w:sz w:val="20"/>
          <w:szCs w:val="20"/>
        </w:rPr>
        <w:t>γμ</w:t>
      </w:r>
      <w:proofErr w:type="spellEnd"/>
      <w:r w:rsidRPr="003556C3">
        <w:rPr>
          <w:rFonts w:ascii="Times New Roman" w:eastAsia="Times New Roman" w:hAnsi="Times New Roman" w:cs="Times New Roman"/>
          <w:sz w:val="20"/>
          <w:szCs w:val="20"/>
        </w:rPr>
        <w:t xml:space="preserve">ατοποιείται </w:t>
      </w:r>
      <w:proofErr w:type="spellStart"/>
      <w:r w:rsidRPr="003556C3">
        <w:rPr>
          <w:rFonts w:ascii="Times New Roman" w:eastAsia="Times New Roman" w:hAnsi="Times New Roman" w:cs="Times New Roman"/>
          <w:sz w:val="20"/>
          <w:szCs w:val="20"/>
        </w:rPr>
        <w:t>μετά</w:t>
      </w:r>
      <w:proofErr w:type="spellEnd"/>
      <w:r w:rsidRPr="003556C3">
        <w:rPr>
          <w:rFonts w:ascii="Times New Roman" w:eastAsia="Times New Roman" w:hAnsi="Times New Roman" w:cs="Times New Roman"/>
          <w:sz w:val="20"/>
          <w:szCs w:val="20"/>
        </w:rPr>
        <w:t xml:space="preserve"> τα 60 έτη</w:t>
      </w:r>
      <w:r w:rsidRPr="003556C3">
        <w:rPr>
          <w:rFonts w:ascii="Times New Roman" w:eastAsia="Times New Roman" w:hAnsi="Times New Roman" w:cs="Times New Roman"/>
          <w:sz w:val="20"/>
          <w:szCs w:val="20"/>
          <w:vertAlign w:val="superscript"/>
        </w:rPr>
        <w:t>2</w:t>
      </w:r>
      <w:r w:rsidRPr="003556C3">
        <w:rPr>
          <w:rFonts w:ascii="Times New Roman" w:eastAsia="Times New Roman" w:hAnsi="Times New Roman" w:cs="Times New Roman"/>
          <w:sz w:val="20"/>
          <w:szCs w:val="20"/>
        </w:rPr>
        <w:t>.</w:t>
      </w:r>
    </w:p>
    <w:p w:rsidR="003556C3" w:rsidRPr="003556C3" w:rsidRDefault="003556C3" w:rsidP="003556C3">
      <w:pPr>
        <w:numPr>
          <w:ilvl w:val="0"/>
          <w:numId w:val="3"/>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Φύλο: Το ανδρικό φύλο φαίνεται ότι προσβάλλεται περισσότερο από το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λέμφωμα (Ν</w:t>
      </w:r>
      <w:r w:rsidRPr="003556C3">
        <w:rPr>
          <w:rFonts w:ascii="Times New Roman" w:eastAsia="Times New Roman" w:hAnsi="Times New Roman" w:cs="Times New Roman"/>
          <w:sz w:val="20"/>
          <w:szCs w:val="20"/>
        </w:rPr>
        <w:t>HL</w:t>
      </w:r>
      <w:r w:rsidRPr="003556C3">
        <w:rPr>
          <w:rFonts w:ascii="Times New Roman" w:eastAsia="Times New Roman" w:hAnsi="Times New Roman" w:cs="Times New Roman"/>
          <w:sz w:val="20"/>
          <w:szCs w:val="20"/>
          <w:lang w:val="el-GR"/>
        </w:rPr>
        <w:t>), αν και ορισμένοι τύποι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λεμφώματος (Ν</w:t>
      </w:r>
      <w:r w:rsidRPr="003556C3">
        <w:rPr>
          <w:rFonts w:ascii="Times New Roman" w:eastAsia="Times New Roman" w:hAnsi="Times New Roman" w:cs="Times New Roman"/>
          <w:sz w:val="20"/>
          <w:szCs w:val="20"/>
        </w:rPr>
        <w:t>HL</w:t>
      </w:r>
      <w:r w:rsidRPr="003556C3">
        <w:rPr>
          <w:rFonts w:ascii="Times New Roman" w:eastAsia="Times New Roman" w:hAnsi="Times New Roman" w:cs="Times New Roman"/>
          <w:sz w:val="20"/>
          <w:szCs w:val="20"/>
          <w:lang w:val="el-GR"/>
        </w:rPr>
        <w:t>) είναι συχνότεροι στο γυναικείο φύλο</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3556C3" w:rsidRPr="003556C3" w:rsidRDefault="003556C3" w:rsidP="003556C3">
      <w:pPr>
        <w:numPr>
          <w:ilvl w:val="0"/>
          <w:numId w:val="3"/>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 xml:space="preserve">Εθνικότητα: Η επίπτωση των διαφόρων υποομάδων </w:t>
      </w:r>
      <w:r w:rsidRPr="003556C3">
        <w:rPr>
          <w:rFonts w:ascii="Times New Roman" w:eastAsia="Times New Roman" w:hAnsi="Times New Roman" w:cs="Times New Roman"/>
          <w:sz w:val="20"/>
          <w:szCs w:val="20"/>
        </w:rPr>
        <w:t>NHL</w:t>
      </w:r>
      <w:r w:rsidRPr="003556C3">
        <w:rPr>
          <w:rFonts w:ascii="Times New Roman" w:eastAsia="Times New Roman" w:hAnsi="Times New Roman" w:cs="Times New Roman"/>
          <w:sz w:val="20"/>
          <w:szCs w:val="20"/>
          <w:lang w:val="el-GR"/>
        </w:rPr>
        <w:t xml:space="preserve"> παρουσιάζει διαφορετική γεωγραφική κατανομή. Τα λεμφώματα από ώριμα Β κύτταρα είναι πιο συχνά στις χώρες της δυτική Ευρώπης, τις ΗΠΑ, την Αυστραλία, τη Νέα Ζηλανδία. Τα Οζώδη λεμφώματα είναι συχνότερα στις ΗΠΑ και στην Δυτική Ευρώπη. Αντίθετα παρουσιάζονται με μειωμένη συχνότητα στην Νότιο Αφρική, Ανατολική Ευρώπη, Αφρική και Ασία. Το λέμφωμα τύπου </w:t>
      </w:r>
      <w:r w:rsidRPr="003556C3">
        <w:rPr>
          <w:rFonts w:ascii="Times New Roman" w:eastAsia="Times New Roman" w:hAnsi="Times New Roman" w:cs="Times New Roman"/>
          <w:sz w:val="20"/>
          <w:szCs w:val="20"/>
        </w:rPr>
        <w:t>Burkett</w:t>
      </w:r>
      <w:r w:rsidRPr="003556C3">
        <w:rPr>
          <w:rFonts w:ascii="Times New Roman" w:eastAsia="Times New Roman" w:hAnsi="Times New Roman" w:cs="Times New Roman"/>
          <w:sz w:val="20"/>
          <w:szCs w:val="20"/>
          <w:lang w:val="el-GR"/>
        </w:rPr>
        <w:t xml:space="preserve"> </w:t>
      </w:r>
      <w:r w:rsidR="00B16DBA" w:rsidRPr="003556C3">
        <w:rPr>
          <w:rFonts w:ascii="Times New Roman" w:eastAsia="Times New Roman" w:hAnsi="Times New Roman" w:cs="Times New Roman"/>
          <w:sz w:val="20"/>
          <w:szCs w:val="20"/>
          <w:lang w:val="el-GR"/>
        </w:rPr>
        <w:t>έχει</w:t>
      </w:r>
      <w:r w:rsidRPr="003556C3">
        <w:rPr>
          <w:rFonts w:ascii="Times New Roman" w:eastAsia="Times New Roman" w:hAnsi="Times New Roman" w:cs="Times New Roman"/>
          <w:sz w:val="20"/>
          <w:szCs w:val="20"/>
          <w:lang w:val="el-GR"/>
        </w:rPr>
        <w:t xml:space="preserve"> ενδημική μορφή στις χώρες της κεντρική Αφρικής, ενώ συνιστά το 1-2% των </w:t>
      </w:r>
      <w:r w:rsidRPr="003556C3">
        <w:rPr>
          <w:rFonts w:ascii="Times New Roman" w:eastAsia="Times New Roman" w:hAnsi="Times New Roman" w:cs="Times New Roman"/>
          <w:sz w:val="20"/>
          <w:szCs w:val="20"/>
        </w:rPr>
        <w:t>NHL</w:t>
      </w:r>
      <w:r w:rsidRPr="003556C3">
        <w:rPr>
          <w:rFonts w:ascii="Times New Roman" w:eastAsia="Times New Roman" w:hAnsi="Times New Roman" w:cs="Times New Roman"/>
          <w:sz w:val="20"/>
          <w:szCs w:val="20"/>
          <w:lang w:val="el-GR"/>
        </w:rPr>
        <w:t xml:space="preserve"> στις ΗΠΑ και στις χώρες της Δυτικής Ευρώπης. Τα άτομα αφρικανικής και ασιατικής καταγωγής φαίνεται ότι προσβάλλονται περισσότερο από τους καυκάσιους</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3556C3" w:rsidRPr="003556C3" w:rsidRDefault="003556C3" w:rsidP="003556C3">
      <w:pPr>
        <w:numPr>
          <w:ilvl w:val="0"/>
          <w:numId w:val="3"/>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 xml:space="preserve">Προηγούμενες χημειοθεραπείες: Ορισμένα </w:t>
      </w:r>
      <w:proofErr w:type="spellStart"/>
      <w:r w:rsidRPr="003556C3">
        <w:rPr>
          <w:rFonts w:ascii="Times New Roman" w:eastAsia="Times New Roman" w:hAnsi="Times New Roman" w:cs="Times New Roman"/>
          <w:sz w:val="20"/>
          <w:szCs w:val="20"/>
          <w:lang w:val="el-GR"/>
        </w:rPr>
        <w:t>χημειοθεραπευτικά</w:t>
      </w:r>
      <w:proofErr w:type="spellEnd"/>
      <w:r w:rsidRPr="003556C3">
        <w:rPr>
          <w:rFonts w:ascii="Times New Roman" w:eastAsia="Times New Roman" w:hAnsi="Times New Roman" w:cs="Times New Roman"/>
          <w:sz w:val="20"/>
          <w:szCs w:val="20"/>
          <w:lang w:val="el-GR"/>
        </w:rPr>
        <w:t xml:space="preserve"> φάρμακα που χρησιμοποιούνται για τη θεραπεία άλλων όγκων μπορούν να αυξήσουν τον μακροπρόθεσμο κίνδυνο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λεμφώματος (Ν</w:t>
      </w:r>
      <w:r w:rsidRPr="003556C3">
        <w:rPr>
          <w:rFonts w:ascii="Times New Roman" w:eastAsia="Times New Roman" w:hAnsi="Times New Roman" w:cs="Times New Roman"/>
          <w:sz w:val="20"/>
          <w:szCs w:val="20"/>
        </w:rPr>
        <w:t>HL</w:t>
      </w:r>
      <w:r w:rsidRPr="003556C3">
        <w:rPr>
          <w:rFonts w:ascii="Times New Roman" w:eastAsia="Times New Roman" w:hAnsi="Times New Roman" w:cs="Times New Roman"/>
          <w:sz w:val="20"/>
          <w:szCs w:val="20"/>
          <w:lang w:val="el-GR"/>
        </w:rPr>
        <w:t>)</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3556C3" w:rsidRPr="003556C3" w:rsidRDefault="003556C3" w:rsidP="003556C3">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spellStart"/>
      <w:r w:rsidRPr="003556C3">
        <w:rPr>
          <w:rFonts w:ascii="Times New Roman" w:eastAsia="Times New Roman" w:hAnsi="Times New Roman" w:cs="Times New Roman"/>
          <w:sz w:val="20"/>
          <w:szCs w:val="20"/>
        </w:rPr>
        <w:t>Έκθεση</w:t>
      </w:r>
      <w:proofErr w:type="spellEnd"/>
      <w:r w:rsidRPr="003556C3">
        <w:rPr>
          <w:rFonts w:ascii="Times New Roman" w:eastAsia="Times New Roman" w:hAnsi="Times New Roman" w:cs="Times New Roman"/>
          <w:sz w:val="20"/>
          <w:szCs w:val="20"/>
        </w:rPr>
        <w:t xml:space="preserve"> </w:t>
      </w:r>
      <w:proofErr w:type="spellStart"/>
      <w:r w:rsidRPr="003556C3">
        <w:rPr>
          <w:rFonts w:ascii="Times New Roman" w:eastAsia="Times New Roman" w:hAnsi="Times New Roman" w:cs="Times New Roman"/>
          <w:sz w:val="20"/>
          <w:szCs w:val="20"/>
        </w:rPr>
        <w:t>σε</w:t>
      </w:r>
      <w:proofErr w:type="spellEnd"/>
      <w:r w:rsidRPr="003556C3">
        <w:rPr>
          <w:rFonts w:ascii="Times New Roman" w:eastAsia="Times New Roman" w:hAnsi="Times New Roman" w:cs="Times New Roman"/>
          <w:sz w:val="20"/>
          <w:szCs w:val="20"/>
        </w:rPr>
        <w:t xml:space="preserve"> α</w:t>
      </w:r>
      <w:proofErr w:type="spellStart"/>
      <w:r w:rsidRPr="003556C3">
        <w:rPr>
          <w:rFonts w:ascii="Times New Roman" w:eastAsia="Times New Roman" w:hAnsi="Times New Roman" w:cs="Times New Roman"/>
          <w:sz w:val="20"/>
          <w:szCs w:val="20"/>
        </w:rPr>
        <w:t>κτινο</w:t>
      </w:r>
      <w:proofErr w:type="spellEnd"/>
      <w:r w:rsidRPr="003556C3">
        <w:rPr>
          <w:rFonts w:ascii="Times New Roman" w:eastAsia="Times New Roman" w:hAnsi="Times New Roman" w:cs="Times New Roman"/>
          <w:sz w:val="20"/>
          <w:szCs w:val="20"/>
        </w:rPr>
        <w:t>βολία</w:t>
      </w:r>
      <w:r w:rsidRPr="003556C3">
        <w:rPr>
          <w:rFonts w:ascii="Times New Roman" w:eastAsia="Times New Roman" w:hAnsi="Times New Roman" w:cs="Times New Roman"/>
          <w:sz w:val="20"/>
          <w:szCs w:val="20"/>
          <w:vertAlign w:val="superscript"/>
        </w:rPr>
        <w:t>2</w:t>
      </w:r>
      <w:r w:rsidRPr="003556C3">
        <w:rPr>
          <w:rFonts w:ascii="Times New Roman" w:eastAsia="Times New Roman" w:hAnsi="Times New Roman" w:cs="Times New Roman"/>
          <w:sz w:val="20"/>
          <w:szCs w:val="20"/>
        </w:rPr>
        <w:t>.</w:t>
      </w:r>
    </w:p>
    <w:p w:rsidR="003556C3" w:rsidRPr="003556C3" w:rsidRDefault="003556C3" w:rsidP="003556C3">
      <w:pPr>
        <w:numPr>
          <w:ilvl w:val="0"/>
          <w:numId w:val="3"/>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Μειωμένη ανοσολογική ανταπόκριση</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 Άτομα με εξασθενημένο ανοσοποιητικό σύστημα εμφανίζουν μεγαλύτερο κίνδυνο για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λέμφωμα (Ν</w:t>
      </w:r>
      <w:r w:rsidRPr="003556C3">
        <w:rPr>
          <w:rFonts w:ascii="Times New Roman" w:eastAsia="Times New Roman" w:hAnsi="Times New Roman" w:cs="Times New Roman"/>
          <w:sz w:val="20"/>
          <w:szCs w:val="20"/>
        </w:rPr>
        <w:t>HL</w:t>
      </w:r>
      <w:r w:rsidR="00E93162">
        <w:rPr>
          <w:rFonts w:ascii="Times New Roman" w:eastAsia="Times New Roman" w:hAnsi="Times New Roman" w:cs="Times New Roman"/>
          <w:sz w:val="20"/>
          <w:szCs w:val="20"/>
          <w:lang w:val="el-GR"/>
        </w:rPr>
        <w:t>)</w:t>
      </w:r>
      <w:r w:rsidR="00E93162" w:rsidRPr="00E93162">
        <w:rPr>
          <w:rFonts w:ascii="Times New Roman" w:eastAsia="Times New Roman" w:hAnsi="Times New Roman" w:cs="Times New Roman"/>
          <w:sz w:val="20"/>
          <w:szCs w:val="20"/>
          <w:lang w:val="el-GR"/>
        </w:rPr>
        <w:t>:</w:t>
      </w:r>
    </w:p>
    <w:p w:rsidR="003556C3" w:rsidRPr="003556C3" w:rsidRDefault="003556C3" w:rsidP="003556C3">
      <w:pPr>
        <w:numPr>
          <w:ilvl w:val="1"/>
          <w:numId w:val="3"/>
        </w:numPr>
        <w:spacing w:before="100" w:beforeAutospacing="1" w:after="100" w:afterAutospacing="1" w:line="240" w:lineRule="auto"/>
        <w:rPr>
          <w:rFonts w:ascii="Times New Roman" w:eastAsia="Times New Roman" w:hAnsi="Times New Roman" w:cs="Times New Roman"/>
          <w:sz w:val="20"/>
          <w:szCs w:val="20"/>
        </w:rPr>
      </w:pPr>
      <w:proofErr w:type="spellStart"/>
      <w:r w:rsidRPr="003556C3">
        <w:rPr>
          <w:rFonts w:ascii="Times New Roman" w:eastAsia="Times New Roman" w:hAnsi="Times New Roman" w:cs="Times New Roman"/>
          <w:sz w:val="20"/>
          <w:szCs w:val="20"/>
        </w:rPr>
        <w:t>Λοίμωξη</w:t>
      </w:r>
      <w:proofErr w:type="spellEnd"/>
      <w:r w:rsidRPr="003556C3">
        <w:rPr>
          <w:rFonts w:ascii="Times New Roman" w:eastAsia="Times New Roman" w:hAnsi="Times New Roman" w:cs="Times New Roman"/>
          <w:sz w:val="20"/>
          <w:szCs w:val="20"/>
        </w:rPr>
        <w:t xml:space="preserve"> από HIV</w:t>
      </w:r>
    </w:p>
    <w:p w:rsidR="003556C3" w:rsidRPr="003556C3" w:rsidRDefault="003556C3" w:rsidP="003556C3">
      <w:pPr>
        <w:numPr>
          <w:ilvl w:val="1"/>
          <w:numId w:val="3"/>
        </w:numPr>
        <w:spacing w:before="100" w:beforeAutospacing="1" w:after="100" w:afterAutospacing="1" w:line="240" w:lineRule="auto"/>
        <w:rPr>
          <w:rFonts w:ascii="Times New Roman" w:eastAsia="Times New Roman" w:hAnsi="Times New Roman" w:cs="Times New Roman"/>
          <w:sz w:val="20"/>
          <w:szCs w:val="20"/>
        </w:rPr>
      </w:pPr>
      <w:proofErr w:type="spellStart"/>
      <w:r w:rsidRPr="003556C3">
        <w:rPr>
          <w:rFonts w:ascii="Times New Roman" w:eastAsia="Times New Roman" w:hAnsi="Times New Roman" w:cs="Times New Roman"/>
          <w:sz w:val="20"/>
          <w:szCs w:val="20"/>
        </w:rPr>
        <w:t>Κληρονομικά</w:t>
      </w:r>
      <w:proofErr w:type="spellEnd"/>
      <w:r w:rsidRPr="003556C3">
        <w:rPr>
          <w:rFonts w:ascii="Times New Roman" w:eastAsia="Times New Roman" w:hAnsi="Times New Roman" w:cs="Times New Roman"/>
          <w:sz w:val="20"/>
          <w:szCs w:val="20"/>
        </w:rPr>
        <w:t xml:space="preserve"> </w:t>
      </w:r>
      <w:proofErr w:type="spellStart"/>
      <w:r w:rsidRPr="003556C3">
        <w:rPr>
          <w:rFonts w:ascii="Times New Roman" w:eastAsia="Times New Roman" w:hAnsi="Times New Roman" w:cs="Times New Roman"/>
          <w:sz w:val="20"/>
          <w:szCs w:val="20"/>
        </w:rPr>
        <w:t>σύνδρομ</w:t>
      </w:r>
      <w:proofErr w:type="spellEnd"/>
      <w:r w:rsidRPr="003556C3">
        <w:rPr>
          <w:rFonts w:ascii="Times New Roman" w:eastAsia="Times New Roman" w:hAnsi="Times New Roman" w:cs="Times New Roman"/>
          <w:sz w:val="20"/>
          <w:szCs w:val="20"/>
        </w:rPr>
        <w:t>α α</w:t>
      </w:r>
      <w:proofErr w:type="spellStart"/>
      <w:r w:rsidRPr="003556C3">
        <w:rPr>
          <w:rFonts w:ascii="Times New Roman" w:eastAsia="Times New Roman" w:hAnsi="Times New Roman" w:cs="Times New Roman"/>
          <w:sz w:val="20"/>
          <w:szCs w:val="20"/>
        </w:rPr>
        <w:t>νοσο</w:t>
      </w:r>
      <w:proofErr w:type="spellEnd"/>
      <w:r w:rsidRPr="003556C3">
        <w:rPr>
          <w:rFonts w:ascii="Times New Roman" w:eastAsia="Times New Roman" w:hAnsi="Times New Roman" w:cs="Times New Roman"/>
          <w:sz w:val="20"/>
          <w:szCs w:val="20"/>
        </w:rPr>
        <w:t>ανεπάρκειας</w:t>
      </w:r>
    </w:p>
    <w:p w:rsidR="003556C3" w:rsidRPr="003556C3" w:rsidRDefault="003556C3" w:rsidP="003556C3">
      <w:pPr>
        <w:numPr>
          <w:ilvl w:val="1"/>
          <w:numId w:val="3"/>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 xml:space="preserve">Θεραπείες </w:t>
      </w:r>
      <w:proofErr w:type="spellStart"/>
      <w:r w:rsidRPr="003556C3">
        <w:rPr>
          <w:rFonts w:ascii="Times New Roman" w:eastAsia="Times New Roman" w:hAnsi="Times New Roman" w:cs="Times New Roman"/>
          <w:sz w:val="20"/>
          <w:szCs w:val="20"/>
          <w:lang w:val="el-GR"/>
        </w:rPr>
        <w:t>ανοσοκαταστολής</w:t>
      </w:r>
      <w:proofErr w:type="spellEnd"/>
      <w:r w:rsidRPr="003556C3">
        <w:rPr>
          <w:rFonts w:ascii="Times New Roman" w:eastAsia="Times New Roman" w:hAnsi="Times New Roman" w:cs="Times New Roman"/>
          <w:sz w:val="20"/>
          <w:szCs w:val="20"/>
          <w:lang w:val="el-GR"/>
        </w:rPr>
        <w:t xml:space="preserve"> (για παράδειγμα, μετά από μεταμόσχευση οργάνου)</w:t>
      </w:r>
      <w:r w:rsidR="00E93162" w:rsidRPr="00E93162">
        <w:rPr>
          <w:rFonts w:ascii="Times New Roman" w:eastAsia="Times New Roman" w:hAnsi="Times New Roman" w:cs="Times New Roman"/>
          <w:sz w:val="20"/>
          <w:szCs w:val="20"/>
          <w:lang w:val="el-GR"/>
        </w:rPr>
        <w:t>.</w:t>
      </w:r>
    </w:p>
    <w:p w:rsidR="003556C3" w:rsidRPr="003556C3" w:rsidRDefault="003556C3" w:rsidP="003556C3">
      <w:pPr>
        <w:numPr>
          <w:ilvl w:val="0"/>
          <w:numId w:val="4"/>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 xml:space="preserve">Τα </w:t>
      </w:r>
      <w:proofErr w:type="spellStart"/>
      <w:r w:rsidRPr="003556C3">
        <w:rPr>
          <w:rFonts w:ascii="Times New Roman" w:eastAsia="Times New Roman" w:hAnsi="Times New Roman" w:cs="Times New Roman"/>
          <w:sz w:val="20"/>
          <w:szCs w:val="20"/>
          <w:lang w:val="el-GR"/>
        </w:rPr>
        <w:t>αυτοάνοσα</w:t>
      </w:r>
      <w:proofErr w:type="spellEnd"/>
      <w:r w:rsidRPr="003556C3">
        <w:rPr>
          <w:rFonts w:ascii="Times New Roman" w:eastAsia="Times New Roman" w:hAnsi="Times New Roman" w:cs="Times New Roman"/>
          <w:sz w:val="20"/>
          <w:szCs w:val="20"/>
          <w:lang w:val="el-GR"/>
        </w:rPr>
        <w:t xml:space="preserve"> νοσήματα, όπως είναι η ρευματοειδής αρθρίτιδα, ο </w:t>
      </w:r>
      <w:proofErr w:type="spellStart"/>
      <w:r w:rsidRPr="003556C3">
        <w:rPr>
          <w:rFonts w:ascii="Times New Roman" w:eastAsia="Times New Roman" w:hAnsi="Times New Roman" w:cs="Times New Roman"/>
          <w:sz w:val="20"/>
          <w:szCs w:val="20"/>
          <w:lang w:val="el-GR"/>
        </w:rPr>
        <w:t>ερυθηματώδης</w:t>
      </w:r>
      <w:proofErr w:type="spellEnd"/>
      <w:r w:rsidRPr="003556C3">
        <w:rPr>
          <w:rFonts w:ascii="Times New Roman" w:eastAsia="Times New Roman" w:hAnsi="Times New Roman" w:cs="Times New Roman"/>
          <w:sz w:val="20"/>
          <w:szCs w:val="20"/>
          <w:lang w:val="el-GR"/>
        </w:rPr>
        <w:t xml:space="preserve"> λύκος, το σύνδρομο </w:t>
      </w:r>
      <w:proofErr w:type="spellStart"/>
      <w:r w:rsidRPr="003556C3">
        <w:rPr>
          <w:rFonts w:ascii="Times New Roman" w:eastAsia="Times New Roman" w:hAnsi="Times New Roman" w:cs="Times New Roman"/>
          <w:sz w:val="20"/>
          <w:szCs w:val="20"/>
        </w:rPr>
        <w:t>Felty</w:t>
      </w:r>
      <w:proofErr w:type="spellEnd"/>
      <w:r w:rsidRPr="003556C3">
        <w:rPr>
          <w:rFonts w:ascii="Times New Roman" w:eastAsia="Times New Roman" w:hAnsi="Times New Roman" w:cs="Times New Roman"/>
          <w:sz w:val="20"/>
          <w:szCs w:val="20"/>
          <w:lang w:val="el-GR"/>
        </w:rPr>
        <w:t xml:space="preserve">, η </w:t>
      </w:r>
      <w:proofErr w:type="spellStart"/>
      <w:r w:rsidRPr="003556C3">
        <w:rPr>
          <w:rFonts w:ascii="Times New Roman" w:eastAsia="Times New Roman" w:hAnsi="Times New Roman" w:cs="Times New Roman"/>
          <w:sz w:val="20"/>
          <w:szCs w:val="20"/>
          <w:lang w:val="el-GR"/>
        </w:rPr>
        <w:t>θυροειδίτιδα</w:t>
      </w:r>
      <w:proofErr w:type="spellEnd"/>
      <w:r w:rsidRPr="003556C3">
        <w:rPr>
          <w:rFonts w:ascii="Times New Roman" w:eastAsia="Times New Roman" w:hAnsi="Times New Roman" w:cs="Times New Roman"/>
          <w:sz w:val="20"/>
          <w:szCs w:val="20"/>
          <w:lang w:val="el-GR"/>
        </w:rPr>
        <w:t xml:space="preserve"> </w:t>
      </w:r>
      <w:r w:rsidRPr="003556C3">
        <w:rPr>
          <w:rFonts w:ascii="Times New Roman" w:eastAsia="Times New Roman" w:hAnsi="Times New Roman" w:cs="Times New Roman"/>
          <w:sz w:val="20"/>
          <w:szCs w:val="20"/>
        </w:rPr>
        <w:t>Hashimoto</w:t>
      </w:r>
      <w:r w:rsidRPr="003556C3">
        <w:rPr>
          <w:rFonts w:ascii="Times New Roman" w:eastAsia="Times New Roman" w:hAnsi="Times New Roman" w:cs="Times New Roman"/>
          <w:sz w:val="20"/>
          <w:szCs w:val="20"/>
          <w:lang w:val="el-GR"/>
        </w:rPr>
        <w:t xml:space="preserve">, η νόσος του </w:t>
      </w:r>
      <w:r w:rsidRPr="003556C3">
        <w:rPr>
          <w:rFonts w:ascii="Times New Roman" w:eastAsia="Times New Roman" w:hAnsi="Times New Roman" w:cs="Times New Roman"/>
          <w:sz w:val="20"/>
          <w:szCs w:val="20"/>
        </w:rPr>
        <w:t>Crohn</w:t>
      </w:r>
      <w:r w:rsidRPr="003556C3">
        <w:rPr>
          <w:rFonts w:ascii="Times New Roman" w:eastAsia="Times New Roman" w:hAnsi="Times New Roman" w:cs="Times New Roman"/>
          <w:sz w:val="20"/>
          <w:szCs w:val="20"/>
          <w:lang w:val="el-GR"/>
        </w:rPr>
        <w:t xml:space="preserve"> και η ελκώδης κολίτιδα σχετίζονται με αυξημένο κίνδυνο εμφάνισης μη-</w:t>
      </w:r>
      <w:r w:rsidRPr="003556C3">
        <w:rPr>
          <w:rFonts w:ascii="Times New Roman" w:eastAsia="Times New Roman" w:hAnsi="Times New Roman" w:cs="Times New Roman"/>
          <w:sz w:val="20"/>
          <w:szCs w:val="20"/>
        </w:rPr>
        <w:t>Hodgkin</w:t>
      </w:r>
      <w:r w:rsidRPr="003556C3">
        <w:rPr>
          <w:rFonts w:ascii="Times New Roman" w:eastAsia="Times New Roman" w:hAnsi="Times New Roman" w:cs="Times New Roman"/>
          <w:sz w:val="20"/>
          <w:szCs w:val="20"/>
          <w:lang w:val="el-GR"/>
        </w:rPr>
        <w:t xml:space="preserve"> λεμφώματος (Ν</w:t>
      </w:r>
      <w:r w:rsidRPr="003556C3">
        <w:rPr>
          <w:rFonts w:ascii="Times New Roman" w:eastAsia="Times New Roman" w:hAnsi="Times New Roman" w:cs="Times New Roman"/>
          <w:sz w:val="20"/>
          <w:szCs w:val="20"/>
        </w:rPr>
        <w:t>HL</w:t>
      </w:r>
      <w:r w:rsidRPr="003556C3">
        <w:rPr>
          <w:rFonts w:ascii="Times New Roman" w:eastAsia="Times New Roman" w:hAnsi="Times New Roman" w:cs="Times New Roman"/>
          <w:sz w:val="20"/>
          <w:szCs w:val="20"/>
          <w:lang w:val="el-GR"/>
        </w:rPr>
        <w:t>)</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8E132C" w:rsidRPr="00E93162" w:rsidRDefault="003556C3" w:rsidP="008E132C">
      <w:pPr>
        <w:numPr>
          <w:ilvl w:val="0"/>
          <w:numId w:val="4"/>
        </w:numPr>
        <w:spacing w:before="100" w:beforeAutospacing="1" w:after="100" w:afterAutospacing="1" w:line="240" w:lineRule="auto"/>
        <w:rPr>
          <w:rFonts w:ascii="Times New Roman" w:eastAsia="Times New Roman" w:hAnsi="Times New Roman" w:cs="Times New Roman"/>
          <w:sz w:val="20"/>
          <w:szCs w:val="20"/>
          <w:lang w:val="el-GR"/>
        </w:rPr>
      </w:pPr>
      <w:r w:rsidRPr="003556C3">
        <w:rPr>
          <w:rFonts w:ascii="Times New Roman" w:eastAsia="Times New Roman" w:hAnsi="Times New Roman" w:cs="Times New Roman"/>
          <w:sz w:val="20"/>
          <w:szCs w:val="20"/>
          <w:lang w:val="el-GR"/>
        </w:rPr>
        <w:t xml:space="preserve">Ορισμένες λοιμώξεις: Ορισμένοι ιοί μπορεί να προσβάλλουν το </w:t>
      </w:r>
      <w:r w:rsidRPr="003556C3">
        <w:rPr>
          <w:rFonts w:ascii="Times New Roman" w:eastAsia="Times New Roman" w:hAnsi="Times New Roman" w:cs="Times New Roman"/>
          <w:sz w:val="20"/>
          <w:szCs w:val="20"/>
        </w:rPr>
        <w:t>DNA</w:t>
      </w:r>
      <w:r w:rsidRPr="003556C3">
        <w:rPr>
          <w:rFonts w:ascii="Times New Roman" w:eastAsia="Times New Roman" w:hAnsi="Times New Roman" w:cs="Times New Roman"/>
          <w:sz w:val="20"/>
          <w:szCs w:val="20"/>
          <w:lang w:val="el-GR"/>
        </w:rPr>
        <w:t xml:space="preserve"> των λεμφοκυττάρων και έτσι να προωθήσουν τη μετατροπή τους σε </w:t>
      </w:r>
      <w:proofErr w:type="spellStart"/>
      <w:r w:rsidRPr="003556C3">
        <w:rPr>
          <w:rFonts w:ascii="Times New Roman" w:eastAsia="Times New Roman" w:hAnsi="Times New Roman" w:cs="Times New Roman"/>
          <w:sz w:val="20"/>
          <w:szCs w:val="20"/>
          <w:lang w:val="el-GR"/>
        </w:rPr>
        <w:t>νεοπλασματικά</w:t>
      </w:r>
      <w:proofErr w:type="spellEnd"/>
      <w:r w:rsidRPr="003556C3">
        <w:rPr>
          <w:rFonts w:ascii="Times New Roman" w:eastAsia="Times New Roman" w:hAnsi="Times New Roman" w:cs="Times New Roman"/>
          <w:sz w:val="20"/>
          <w:szCs w:val="20"/>
          <w:lang w:val="el-GR"/>
        </w:rPr>
        <w:t xml:space="preserve"> κύτταρα ή μπορεί να συμμετέχουν στην εξασθένηση του ανοσοποιητικού συστήματος ή αντίθετα να προκαλέσουν χρόνια διέγερση, καθιστώντας το πιο επιρρεπές στην </w:t>
      </w:r>
      <w:proofErr w:type="spellStart"/>
      <w:r w:rsidRPr="003556C3">
        <w:rPr>
          <w:rFonts w:ascii="Times New Roman" w:eastAsia="Times New Roman" w:hAnsi="Times New Roman" w:cs="Times New Roman"/>
          <w:sz w:val="20"/>
          <w:szCs w:val="20"/>
          <w:lang w:val="el-GR"/>
        </w:rPr>
        <w:t>νεοπλασματική</w:t>
      </w:r>
      <w:proofErr w:type="spellEnd"/>
      <w:r w:rsidRPr="003556C3">
        <w:rPr>
          <w:rFonts w:ascii="Times New Roman" w:eastAsia="Times New Roman" w:hAnsi="Times New Roman" w:cs="Times New Roman"/>
          <w:sz w:val="20"/>
          <w:szCs w:val="20"/>
          <w:lang w:val="el-GR"/>
        </w:rPr>
        <w:t xml:space="preserve"> εκτροπή</w:t>
      </w:r>
      <w:r w:rsidRPr="003556C3">
        <w:rPr>
          <w:rFonts w:ascii="Times New Roman" w:eastAsia="Times New Roman" w:hAnsi="Times New Roman" w:cs="Times New Roman"/>
          <w:sz w:val="20"/>
          <w:szCs w:val="20"/>
          <w:vertAlign w:val="superscript"/>
          <w:lang w:val="el-GR"/>
        </w:rPr>
        <w:t>2</w:t>
      </w:r>
      <w:r w:rsidRPr="003556C3">
        <w:rPr>
          <w:rFonts w:ascii="Times New Roman" w:eastAsia="Times New Roman" w:hAnsi="Times New Roman" w:cs="Times New Roman"/>
          <w:sz w:val="20"/>
          <w:szCs w:val="20"/>
          <w:lang w:val="el-GR"/>
        </w:rPr>
        <w:t>.</w:t>
      </w:r>
    </w:p>
    <w:p w:rsidR="00E93162" w:rsidRDefault="00E93162" w:rsidP="008E132C">
      <w:pPr>
        <w:rPr>
          <w:rFonts w:ascii="Times New Roman" w:hAnsi="Times New Roman" w:cs="Times New Roman"/>
          <w:b/>
          <w:sz w:val="20"/>
          <w:szCs w:val="20"/>
          <w:lang w:val="el-GR"/>
        </w:rPr>
      </w:pPr>
    </w:p>
    <w:p w:rsidR="00E93162" w:rsidRDefault="00E93162" w:rsidP="008E132C">
      <w:pPr>
        <w:rPr>
          <w:rFonts w:ascii="Times New Roman" w:hAnsi="Times New Roman" w:cs="Times New Roman"/>
          <w:b/>
          <w:sz w:val="20"/>
          <w:szCs w:val="20"/>
          <w:lang w:val="el-GR"/>
        </w:rPr>
      </w:pPr>
    </w:p>
    <w:p w:rsidR="008E132C" w:rsidRPr="00B3476E" w:rsidRDefault="008E132C" w:rsidP="008E132C">
      <w:pPr>
        <w:rPr>
          <w:rFonts w:ascii="Times New Roman" w:hAnsi="Times New Roman" w:cs="Times New Roman"/>
          <w:b/>
          <w:sz w:val="20"/>
          <w:szCs w:val="20"/>
          <w:lang w:val="el-GR"/>
        </w:rPr>
      </w:pPr>
      <w:r w:rsidRPr="00B366E6">
        <w:rPr>
          <w:rFonts w:ascii="Times New Roman" w:hAnsi="Times New Roman" w:cs="Times New Roman"/>
          <w:b/>
          <w:sz w:val="20"/>
          <w:szCs w:val="20"/>
          <w:lang w:val="el-GR"/>
        </w:rPr>
        <w:lastRenderedPageBreak/>
        <w:t>Συμπτωματολογία</w:t>
      </w:r>
    </w:p>
    <w:p w:rsidR="008E132C" w:rsidRPr="00B366E6" w:rsidRDefault="008E132C" w:rsidP="0022454B">
      <w:pPr>
        <w:rPr>
          <w:rFonts w:ascii="Times New Roman" w:hAnsi="Times New Roman" w:cs="Times New Roman"/>
          <w:sz w:val="20"/>
          <w:szCs w:val="20"/>
          <w:lang w:val="el-GR"/>
        </w:rPr>
      </w:pPr>
      <w:r w:rsidRPr="00B366E6">
        <w:rPr>
          <w:rFonts w:ascii="Times New Roman" w:hAnsi="Times New Roman" w:cs="Times New Roman"/>
          <w:sz w:val="20"/>
          <w:szCs w:val="20"/>
          <w:lang w:val="el-GR"/>
        </w:rPr>
        <w:t>Το συχνότερο σύμπτωμα του μη-</w:t>
      </w:r>
      <w:proofErr w:type="spellStart"/>
      <w:r w:rsidRPr="00B366E6">
        <w:rPr>
          <w:rFonts w:ascii="Times New Roman" w:hAnsi="Times New Roman" w:cs="Times New Roman"/>
          <w:sz w:val="20"/>
          <w:szCs w:val="20"/>
          <w:lang w:val="el-GR"/>
        </w:rPr>
        <w:t>Hodgkin</w:t>
      </w:r>
      <w:proofErr w:type="spellEnd"/>
      <w:r w:rsidRPr="00B366E6">
        <w:rPr>
          <w:rFonts w:ascii="Times New Roman" w:hAnsi="Times New Roman" w:cs="Times New Roman"/>
          <w:sz w:val="20"/>
          <w:szCs w:val="20"/>
          <w:lang w:val="el-GR"/>
        </w:rPr>
        <w:t xml:space="preserve"> λεμφώματος (ΝHL) είναι η ανεύρεση μιας ή περισσοτέρων </w:t>
      </w:r>
      <w:proofErr w:type="spellStart"/>
      <w:r w:rsidRPr="00B366E6">
        <w:rPr>
          <w:rFonts w:ascii="Times New Roman" w:hAnsi="Times New Roman" w:cs="Times New Roman"/>
          <w:sz w:val="20"/>
          <w:szCs w:val="20"/>
          <w:lang w:val="el-GR"/>
        </w:rPr>
        <w:t>λεμφαδενικών</w:t>
      </w:r>
      <w:proofErr w:type="spellEnd"/>
      <w:r w:rsidRPr="00B366E6">
        <w:rPr>
          <w:rFonts w:ascii="Times New Roman" w:hAnsi="Times New Roman" w:cs="Times New Roman"/>
          <w:sz w:val="20"/>
          <w:szCs w:val="20"/>
          <w:lang w:val="el-GR"/>
        </w:rPr>
        <w:t xml:space="preserve"> διογκώσεων. Συχνή είναι η παρουσία συστηματικών συμπτωμάτων: πυρετός, κόπωση, απώλεια βάρους που δεν αποδίδεται σε ειδική διατροφή, έντονες εφιδρώσεις κυρίως νυχτερινές</w:t>
      </w:r>
      <w:r w:rsidR="00E93162" w:rsidRPr="00E93162">
        <w:rPr>
          <w:rFonts w:ascii="Times New Roman" w:hAnsi="Times New Roman" w:cs="Times New Roman"/>
          <w:sz w:val="20"/>
          <w:szCs w:val="20"/>
          <w:lang w:val="el-GR"/>
        </w:rPr>
        <w:t>.</w:t>
      </w:r>
      <w:r w:rsidRPr="00E93162">
        <w:rPr>
          <w:rFonts w:ascii="Times New Roman" w:eastAsia="Times New Roman" w:hAnsi="Times New Roman" w:cs="Times New Roman"/>
          <w:sz w:val="20"/>
          <w:szCs w:val="20"/>
          <w:vertAlign w:val="superscript"/>
          <w:lang w:val="el-GR"/>
        </w:rPr>
        <w:t>2</w:t>
      </w:r>
    </w:p>
    <w:p w:rsidR="00510CFA" w:rsidRPr="00B3476E" w:rsidRDefault="008E132C" w:rsidP="008E132C">
      <w:pPr>
        <w:rPr>
          <w:rFonts w:ascii="Times New Roman" w:hAnsi="Times New Roman" w:cs="Times New Roman"/>
          <w:sz w:val="20"/>
          <w:szCs w:val="20"/>
          <w:lang w:val="el-GR"/>
        </w:rPr>
      </w:pPr>
      <w:r w:rsidRPr="00B366E6">
        <w:rPr>
          <w:rFonts w:ascii="Times New Roman" w:hAnsi="Times New Roman" w:cs="Times New Roman"/>
          <w:sz w:val="20"/>
          <w:szCs w:val="20"/>
          <w:lang w:val="el-GR"/>
        </w:rPr>
        <w:t>Τα βραδέως εξελισσόμενα μη-</w:t>
      </w:r>
      <w:proofErr w:type="spellStart"/>
      <w:r w:rsidRPr="00B366E6">
        <w:rPr>
          <w:rFonts w:ascii="Times New Roman" w:hAnsi="Times New Roman" w:cs="Times New Roman"/>
          <w:sz w:val="20"/>
          <w:szCs w:val="20"/>
          <w:lang w:val="el-GR"/>
        </w:rPr>
        <w:t>Hodgkin</w:t>
      </w:r>
      <w:proofErr w:type="spellEnd"/>
      <w:r w:rsidRPr="00B366E6">
        <w:rPr>
          <w:rFonts w:ascii="Times New Roman" w:hAnsi="Times New Roman" w:cs="Times New Roman"/>
          <w:sz w:val="20"/>
          <w:szCs w:val="20"/>
          <w:lang w:val="el-GR"/>
        </w:rPr>
        <w:t xml:space="preserve"> λεμφώματα εμφανίζουν ετερογενή συμπεριφορά ανάλογα με τον ιστολογικό βαθμό κακοήθειας και την έκταση της νόσου: μπορεί να είναι </w:t>
      </w:r>
      <w:proofErr w:type="spellStart"/>
      <w:r w:rsidRPr="00B366E6">
        <w:rPr>
          <w:rFonts w:ascii="Times New Roman" w:hAnsi="Times New Roman" w:cs="Times New Roman"/>
          <w:sz w:val="20"/>
          <w:szCs w:val="20"/>
          <w:lang w:val="el-GR"/>
        </w:rPr>
        <w:t>ασυμπτωματικά</w:t>
      </w:r>
      <w:proofErr w:type="spellEnd"/>
      <w:r w:rsidRPr="00B366E6">
        <w:rPr>
          <w:rFonts w:ascii="Times New Roman" w:hAnsi="Times New Roman" w:cs="Times New Roman"/>
          <w:sz w:val="20"/>
          <w:szCs w:val="20"/>
          <w:lang w:val="el-GR"/>
        </w:rPr>
        <w:t xml:space="preserve">, να εμφανίσουν </w:t>
      </w:r>
      <w:proofErr w:type="spellStart"/>
      <w:r w:rsidRPr="00B366E6">
        <w:rPr>
          <w:rFonts w:ascii="Times New Roman" w:hAnsi="Times New Roman" w:cs="Times New Roman"/>
          <w:sz w:val="20"/>
          <w:szCs w:val="20"/>
          <w:lang w:val="el-GR"/>
        </w:rPr>
        <w:t>λεμφαδενικές</w:t>
      </w:r>
      <w:proofErr w:type="spellEnd"/>
      <w:r w:rsidRPr="00B366E6">
        <w:rPr>
          <w:rFonts w:ascii="Times New Roman" w:hAnsi="Times New Roman" w:cs="Times New Roman"/>
          <w:sz w:val="20"/>
          <w:szCs w:val="20"/>
          <w:lang w:val="el-GR"/>
        </w:rPr>
        <w:t xml:space="preserve"> διογκώσεις μονήρεις ή διάχυτες ή συνδυασμένες με τα προαναφερθέντα συμπτώματα.</w:t>
      </w:r>
    </w:p>
    <w:p w:rsidR="00510CFA" w:rsidRPr="00B3476E" w:rsidRDefault="00510CFA" w:rsidP="00510CFA">
      <w:pPr>
        <w:rPr>
          <w:rFonts w:ascii="Times New Roman" w:hAnsi="Times New Roman" w:cs="Times New Roman"/>
          <w:b/>
          <w:szCs w:val="20"/>
          <w:lang w:val="el-GR"/>
        </w:rPr>
      </w:pPr>
      <w:r w:rsidRPr="00B366E6">
        <w:rPr>
          <w:rFonts w:ascii="Times New Roman" w:hAnsi="Times New Roman" w:cs="Times New Roman"/>
          <w:b/>
          <w:szCs w:val="20"/>
          <w:lang w:val="el-GR"/>
        </w:rPr>
        <w:t>Διάγνωση</w:t>
      </w:r>
    </w:p>
    <w:p w:rsidR="00510CFA" w:rsidRPr="00B366E6" w:rsidRDefault="00510CFA" w:rsidP="00510CFA">
      <w:pPr>
        <w:rPr>
          <w:rFonts w:ascii="Times New Roman" w:hAnsi="Times New Roman" w:cs="Times New Roman"/>
          <w:sz w:val="20"/>
          <w:szCs w:val="20"/>
          <w:lang w:val="el-GR"/>
        </w:rPr>
      </w:pPr>
      <w:r w:rsidRPr="00B366E6">
        <w:rPr>
          <w:rFonts w:ascii="Times New Roman" w:hAnsi="Times New Roman" w:cs="Times New Roman"/>
          <w:sz w:val="20"/>
          <w:szCs w:val="20"/>
          <w:lang w:val="el-GR"/>
        </w:rPr>
        <w:t xml:space="preserve">Η αρτιότερη διαγνωστική τεχνική είναι η </w:t>
      </w:r>
      <w:proofErr w:type="spellStart"/>
      <w:r w:rsidRPr="00B366E6">
        <w:rPr>
          <w:rFonts w:ascii="Times New Roman" w:hAnsi="Times New Roman" w:cs="Times New Roman"/>
          <w:sz w:val="20"/>
          <w:szCs w:val="20"/>
          <w:lang w:val="el-GR"/>
        </w:rPr>
        <w:t>λεμφαδενική</w:t>
      </w:r>
      <w:proofErr w:type="spellEnd"/>
      <w:r w:rsidRPr="00B366E6">
        <w:rPr>
          <w:rFonts w:ascii="Times New Roman" w:hAnsi="Times New Roman" w:cs="Times New Roman"/>
          <w:sz w:val="20"/>
          <w:szCs w:val="20"/>
          <w:lang w:val="el-GR"/>
        </w:rPr>
        <w:t xml:space="preserve"> βιοψία δια </w:t>
      </w:r>
      <w:proofErr w:type="spellStart"/>
      <w:r w:rsidRPr="00B366E6">
        <w:rPr>
          <w:rFonts w:ascii="Times New Roman" w:hAnsi="Times New Roman" w:cs="Times New Roman"/>
          <w:sz w:val="20"/>
          <w:szCs w:val="20"/>
          <w:lang w:val="el-GR"/>
        </w:rPr>
        <w:t>εκτομής</w:t>
      </w:r>
      <w:proofErr w:type="spellEnd"/>
      <w:r w:rsidRPr="00B366E6">
        <w:rPr>
          <w:rFonts w:ascii="Times New Roman" w:hAnsi="Times New Roman" w:cs="Times New Roman"/>
          <w:sz w:val="20"/>
          <w:szCs w:val="20"/>
          <w:lang w:val="el-GR"/>
        </w:rPr>
        <w:t>, η οποία ακολουθείται από ιστολογική εξέταση. Αυτή η τεχνική επιτρέπει επίσης την ταυτοποίηση του λεμφώματος. Η ακριβής ταυτοποίηση, μεταξύ των 40 διαφορετικών τύπων λεμφωμάτων, είναι θεμελιώδης για τη σωστή κλινική διάγνωση και για τη λήψη απόφασης για την πλέον κατάλληλη θεραπευτική προσέγγιση</w:t>
      </w:r>
      <w:r w:rsidRPr="00E93162">
        <w:rPr>
          <w:rFonts w:ascii="Times New Roman" w:eastAsia="Times New Roman" w:hAnsi="Times New Roman" w:cs="Times New Roman"/>
          <w:sz w:val="20"/>
          <w:szCs w:val="20"/>
          <w:vertAlign w:val="superscript"/>
          <w:lang w:val="el-GR"/>
        </w:rPr>
        <w:t>2</w:t>
      </w:r>
      <w:r w:rsidRPr="00B366E6">
        <w:rPr>
          <w:rFonts w:ascii="Times New Roman" w:hAnsi="Times New Roman" w:cs="Times New Roman"/>
          <w:sz w:val="20"/>
          <w:szCs w:val="20"/>
          <w:lang w:val="el-GR"/>
        </w:rPr>
        <w:t>.</w:t>
      </w:r>
    </w:p>
    <w:p w:rsidR="00E93162" w:rsidRPr="00E93162" w:rsidRDefault="00510CFA" w:rsidP="00510CFA">
      <w:pPr>
        <w:rPr>
          <w:rFonts w:ascii="Times New Roman" w:hAnsi="Times New Roman" w:cs="Times New Roman"/>
          <w:sz w:val="20"/>
          <w:szCs w:val="20"/>
          <w:lang w:val="el-GR"/>
        </w:rPr>
      </w:pPr>
      <w:r w:rsidRPr="00B366E6">
        <w:rPr>
          <w:rFonts w:ascii="Times New Roman" w:hAnsi="Times New Roman" w:cs="Times New Roman"/>
          <w:sz w:val="20"/>
          <w:szCs w:val="20"/>
          <w:lang w:val="el-GR"/>
        </w:rPr>
        <w:t>Ορισμένες φορές χρησιμοποιούνται και άλλες διαγνωστικές τεχνικές, οι οποίες συμβάλλουν στην ταυτοποίηση ορισμένων μη-</w:t>
      </w:r>
      <w:r w:rsidRPr="00B366E6">
        <w:rPr>
          <w:rFonts w:ascii="Times New Roman" w:hAnsi="Times New Roman" w:cs="Times New Roman"/>
          <w:sz w:val="20"/>
          <w:szCs w:val="20"/>
        </w:rPr>
        <w:t>Hodgkin</w:t>
      </w:r>
      <w:r w:rsidRPr="00B366E6">
        <w:rPr>
          <w:rFonts w:ascii="Times New Roman" w:hAnsi="Times New Roman" w:cs="Times New Roman"/>
          <w:sz w:val="20"/>
          <w:szCs w:val="20"/>
          <w:lang w:val="el-GR"/>
        </w:rPr>
        <w:t xml:space="preserve"> λεμφωμάτων (Ν</w:t>
      </w:r>
      <w:r w:rsidRPr="00B366E6">
        <w:rPr>
          <w:rFonts w:ascii="Times New Roman" w:hAnsi="Times New Roman" w:cs="Times New Roman"/>
          <w:sz w:val="20"/>
          <w:szCs w:val="20"/>
        </w:rPr>
        <w:t>HL</w:t>
      </w:r>
      <w:r w:rsidRPr="00B366E6">
        <w:rPr>
          <w:rFonts w:ascii="Times New Roman" w:hAnsi="Times New Roman" w:cs="Times New Roman"/>
          <w:sz w:val="20"/>
          <w:szCs w:val="20"/>
          <w:lang w:val="el-GR"/>
        </w:rPr>
        <w:t xml:space="preserve">), όπως είναι για παράδειγμα η παρακέντηση και βιοψία μυελού των οστών, η </w:t>
      </w:r>
      <w:proofErr w:type="spellStart"/>
      <w:r w:rsidRPr="00B366E6">
        <w:rPr>
          <w:rFonts w:ascii="Times New Roman" w:hAnsi="Times New Roman" w:cs="Times New Roman"/>
          <w:sz w:val="20"/>
          <w:szCs w:val="20"/>
          <w:lang w:val="el-GR"/>
        </w:rPr>
        <w:t>οσφυονωτιαία</w:t>
      </w:r>
      <w:proofErr w:type="spellEnd"/>
      <w:r w:rsidRPr="00B366E6">
        <w:rPr>
          <w:rFonts w:ascii="Times New Roman" w:hAnsi="Times New Roman" w:cs="Times New Roman"/>
          <w:sz w:val="20"/>
          <w:szCs w:val="20"/>
          <w:lang w:val="el-GR"/>
        </w:rPr>
        <w:t xml:space="preserve"> παρακέντηση, η ανάλυση του πλευριτικού υγρού.</w:t>
      </w:r>
    </w:p>
    <w:p w:rsidR="00510CFA" w:rsidRPr="00B3476E" w:rsidRDefault="00510CFA" w:rsidP="00510CFA">
      <w:pPr>
        <w:rPr>
          <w:rFonts w:ascii="Times New Roman" w:hAnsi="Times New Roman" w:cs="Times New Roman"/>
          <w:b/>
          <w:szCs w:val="20"/>
          <w:lang w:val="el-GR"/>
        </w:rPr>
      </w:pPr>
      <w:proofErr w:type="spellStart"/>
      <w:r w:rsidRPr="00B366E6">
        <w:rPr>
          <w:rFonts w:ascii="Times New Roman" w:hAnsi="Times New Roman" w:cs="Times New Roman"/>
          <w:b/>
          <w:szCs w:val="20"/>
          <w:lang w:val="el-GR"/>
        </w:rPr>
        <w:t>Σταδιοποίηση</w:t>
      </w:r>
      <w:proofErr w:type="spellEnd"/>
      <w:r w:rsidRPr="00B366E6">
        <w:rPr>
          <w:rFonts w:ascii="Times New Roman" w:hAnsi="Times New Roman" w:cs="Times New Roman"/>
          <w:b/>
          <w:szCs w:val="20"/>
          <w:lang w:val="el-GR"/>
        </w:rPr>
        <w:t xml:space="preserve"> &amp; Πρόγνωση</w:t>
      </w:r>
    </w:p>
    <w:p w:rsidR="00510CFA" w:rsidRPr="00B366E6" w:rsidRDefault="00510CFA" w:rsidP="00510CFA">
      <w:pPr>
        <w:rPr>
          <w:rFonts w:ascii="Times New Roman" w:hAnsi="Times New Roman" w:cs="Times New Roman"/>
          <w:sz w:val="20"/>
          <w:szCs w:val="20"/>
          <w:lang w:val="el-GR"/>
        </w:rPr>
      </w:pPr>
      <w:proofErr w:type="spellStart"/>
      <w:r w:rsidRPr="00B366E6">
        <w:rPr>
          <w:rFonts w:ascii="Times New Roman" w:hAnsi="Times New Roman" w:cs="Times New Roman"/>
          <w:sz w:val="20"/>
          <w:szCs w:val="20"/>
          <w:lang w:val="el-GR"/>
        </w:rPr>
        <w:t>Σταδιοποίηση</w:t>
      </w:r>
      <w:proofErr w:type="spellEnd"/>
      <w:r w:rsidRPr="00B366E6">
        <w:rPr>
          <w:rFonts w:ascii="Times New Roman" w:hAnsi="Times New Roman" w:cs="Times New Roman"/>
          <w:sz w:val="20"/>
          <w:szCs w:val="20"/>
          <w:lang w:val="el-GR"/>
        </w:rPr>
        <w:t xml:space="preserve"> Αφού γίνει η διάγνωση, ο ασθενής πρέπει να υποβληθεί σε διάφορες </w:t>
      </w:r>
      <w:proofErr w:type="spellStart"/>
      <w:r w:rsidRPr="00B366E6">
        <w:rPr>
          <w:rFonts w:ascii="Times New Roman" w:hAnsi="Times New Roman" w:cs="Times New Roman"/>
          <w:sz w:val="20"/>
          <w:szCs w:val="20"/>
          <w:lang w:val="el-GR"/>
        </w:rPr>
        <w:t>κλινικοεργαστηριακές</w:t>
      </w:r>
      <w:proofErr w:type="spellEnd"/>
      <w:r w:rsidRPr="00B366E6">
        <w:rPr>
          <w:rFonts w:ascii="Times New Roman" w:hAnsi="Times New Roman" w:cs="Times New Roman"/>
          <w:sz w:val="20"/>
          <w:szCs w:val="20"/>
          <w:lang w:val="el-GR"/>
        </w:rPr>
        <w:t xml:space="preserve"> εξετάσεις προκειμένου να καθοριστεί το στάδιο της νόσου (δηλαδή η έκτασή της) και να προσδιοριστούν οι προγνωστικοί παράγοντες. </w:t>
      </w:r>
    </w:p>
    <w:p w:rsidR="00510CFA" w:rsidRPr="00B3476E" w:rsidRDefault="00510CFA" w:rsidP="00510CFA">
      <w:pPr>
        <w:rPr>
          <w:rFonts w:ascii="Times New Roman" w:hAnsi="Times New Roman" w:cs="Times New Roman"/>
          <w:b/>
          <w:szCs w:val="20"/>
          <w:lang w:val="el-GR"/>
        </w:rPr>
      </w:pPr>
      <w:r w:rsidRPr="00B366E6">
        <w:rPr>
          <w:rFonts w:ascii="Times New Roman" w:hAnsi="Times New Roman" w:cs="Times New Roman"/>
          <w:b/>
          <w:szCs w:val="20"/>
          <w:lang w:val="el-GR"/>
        </w:rPr>
        <w:t>Πρόγνωση</w:t>
      </w:r>
    </w:p>
    <w:p w:rsidR="00510CFA" w:rsidRPr="00B366E6" w:rsidRDefault="00510CFA" w:rsidP="00510CFA">
      <w:pPr>
        <w:rPr>
          <w:rFonts w:ascii="Times New Roman" w:hAnsi="Times New Roman" w:cs="Times New Roman"/>
          <w:sz w:val="20"/>
          <w:szCs w:val="20"/>
          <w:lang w:val="el-GR"/>
        </w:rPr>
      </w:pPr>
      <w:r w:rsidRPr="00B366E6">
        <w:rPr>
          <w:rFonts w:ascii="Times New Roman" w:hAnsi="Times New Roman" w:cs="Times New Roman"/>
          <w:sz w:val="20"/>
          <w:szCs w:val="20"/>
          <w:lang w:val="el-GR"/>
        </w:rPr>
        <w:t>Οι δυσμενείς προγνωστικοί παράγοντες για τα μη-</w:t>
      </w:r>
      <w:r w:rsidRPr="00B366E6">
        <w:rPr>
          <w:rFonts w:ascii="Times New Roman" w:hAnsi="Times New Roman" w:cs="Times New Roman"/>
          <w:sz w:val="20"/>
          <w:szCs w:val="20"/>
        </w:rPr>
        <w:t>Hodgkin</w:t>
      </w:r>
      <w:r w:rsidRPr="00B366E6">
        <w:rPr>
          <w:rFonts w:ascii="Times New Roman" w:hAnsi="Times New Roman" w:cs="Times New Roman"/>
          <w:sz w:val="20"/>
          <w:szCs w:val="20"/>
          <w:lang w:val="el-GR"/>
        </w:rPr>
        <w:t xml:space="preserve"> λεμφώματα είναι οι εξής</w:t>
      </w:r>
      <w:r w:rsidRPr="00E93162">
        <w:rPr>
          <w:rFonts w:ascii="Times New Roman" w:eastAsia="Times New Roman" w:hAnsi="Times New Roman" w:cs="Times New Roman"/>
          <w:sz w:val="20"/>
          <w:szCs w:val="20"/>
          <w:vertAlign w:val="superscript"/>
          <w:lang w:val="el-GR"/>
        </w:rPr>
        <w:t>2</w:t>
      </w:r>
      <w:r w:rsidRPr="00B366E6">
        <w:rPr>
          <w:rFonts w:ascii="Times New Roman" w:hAnsi="Times New Roman" w:cs="Times New Roman"/>
          <w:sz w:val="20"/>
          <w:szCs w:val="20"/>
          <w:lang w:val="el-GR"/>
        </w:rPr>
        <w:t>:</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Προχωρημένη ηλικία</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Πτωχή φυσική κατάσταση (δηλαδή κακή κλινική κατάσταση κατά τη χρονική στιγμή της διάγνωσης)</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 xml:space="preserve">Υψηλά επίπεδα </w:t>
      </w:r>
      <w:r w:rsidRPr="00B366E6">
        <w:rPr>
          <w:rFonts w:ascii="Times New Roman" w:hAnsi="Times New Roman" w:cs="Times New Roman"/>
          <w:sz w:val="20"/>
          <w:szCs w:val="20"/>
        </w:rPr>
        <w:t>LDH</w:t>
      </w:r>
      <w:r w:rsidRPr="00B366E6">
        <w:rPr>
          <w:rFonts w:ascii="Times New Roman" w:hAnsi="Times New Roman" w:cs="Times New Roman"/>
          <w:sz w:val="20"/>
          <w:szCs w:val="20"/>
          <w:lang w:val="el-GR"/>
        </w:rPr>
        <w:t xml:space="preserve"> στον ορό</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Προχωρημένο στάδιο (</w:t>
      </w:r>
      <w:r w:rsidRPr="00B366E6">
        <w:rPr>
          <w:rFonts w:ascii="Times New Roman" w:hAnsi="Times New Roman" w:cs="Times New Roman"/>
          <w:sz w:val="20"/>
          <w:szCs w:val="20"/>
        </w:rPr>
        <w:t>III</w:t>
      </w:r>
      <w:r w:rsidRPr="00B366E6">
        <w:rPr>
          <w:rFonts w:ascii="Times New Roman" w:hAnsi="Times New Roman" w:cs="Times New Roman"/>
          <w:sz w:val="20"/>
          <w:szCs w:val="20"/>
          <w:lang w:val="el-GR"/>
        </w:rPr>
        <w:t>-</w:t>
      </w:r>
      <w:r w:rsidRPr="00B366E6">
        <w:rPr>
          <w:rFonts w:ascii="Times New Roman" w:hAnsi="Times New Roman" w:cs="Times New Roman"/>
          <w:sz w:val="20"/>
          <w:szCs w:val="20"/>
        </w:rPr>
        <w:t>IV</w:t>
      </w:r>
      <w:r w:rsidRPr="00B366E6">
        <w:rPr>
          <w:rFonts w:ascii="Times New Roman" w:hAnsi="Times New Roman" w:cs="Times New Roman"/>
          <w:sz w:val="20"/>
          <w:szCs w:val="20"/>
          <w:lang w:val="el-GR"/>
        </w:rPr>
        <w:t>)</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 xml:space="preserve">Παρουσία </w:t>
      </w:r>
      <w:proofErr w:type="spellStart"/>
      <w:r w:rsidRPr="00B366E6">
        <w:rPr>
          <w:rFonts w:ascii="Times New Roman" w:hAnsi="Times New Roman" w:cs="Times New Roman"/>
          <w:sz w:val="20"/>
          <w:szCs w:val="20"/>
          <w:lang w:val="el-GR"/>
        </w:rPr>
        <w:t>εξωλεμφαδενικών</w:t>
      </w:r>
      <w:proofErr w:type="spellEnd"/>
      <w:r w:rsidRPr="00B366E6">
        <w:rPr>
          <w:rFonts w:ascii="Times New Roman" w:hAnsi="Times New Roman" w:cs="Times New Roman"/>
          <w:sz w:val="20"/>
          <w:szCs w:val="20"/>
          <w:lang w:val="el-GR"/>
        </w:rPr>
        <w:t xml:space="preserve"> εστιών</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 xml:space="preserve">Παρουσία αυξημένου αριθμού προσβεβλημένων </w:t>
      </w:r>
      <w:proofErr w:type="spellStart"/>
      <w:r w:rsidRPr="00B366E6">
        <w:rPr>
          <w:rFonts w:ascii="Times New Roman" w:hAnsi="Times New Roman" w:cs="Times New Roman"/>
          <w:sz w:val="20"/>
          <w:szCs w:val="20"/>
          <w:lang w:val="el-GR"/>
        </w:rPr>
        <w:t>λεμφαδενικών</w:t>
      </w:r>
      <w:proofErr w:type="spellEnd"/>
      <w:r w:rsidRPr="00B366E6">
        <w:rPr>
          <w:rFonts w:ascii="Times New Roman" w:hAnsi="Times New Roman" w:cs="Times New Roman"/>
          <w:sz w:val="20"/>
          <w:szCs w:val="20"/>
          <w:lang w:val="el-GR"/>
        </w:rPr>
        <w:t xml:space="preserve"> εστιών</w:t>
      </w:r>
    </w:p>
    <w:p w:rsidR="00510CFA" w:rsidRPr="00B366E6" w:rsidRDefault="00510CFA" w:rsidP="00510CFA">
      <w:pPr>
        <w:pStyle w:val="ListParagraph"/>
        <w:numPr>
          <w:ilvl w:val="0"/>
          <w:numId w:val="10"/>
        </w:numPr>
        <w:rPr>
          <w:rFonts w:ascii="Times New Roman" w:hAnsi="Times New Roman" w:cs="Times New Roman"/>
          <w:sz w:val="20"/>
          <w:szCs w:val="20"/>
          <w:lang w:val="el-GR"/>
        </w:rPr>
      </w:pPr>
      <w:r w:rsidRPr="00B366E6">
        <w:rPr>
          <w:rFonts w:ascii="Times New Roman" w:hAnsi="Times New Roman" w:cs="Times New Roman"/>
          <w:sz w:val="20"/>
          <w:szCs w:val="20"/>
          <w:lang w:val="el-GR"/>
        </w:rPr>
        <w:t>Αύξηση του αριθμού των λευκών αιμοσφαιρίων κατά τη χρονική στιγμή της διάγνωσης (σε ορισμένους τύπους λεμφώματος)</w:t>
      </w:r>
    </w:p>
    <w:p w:rsidR="00510CFA" w:rsidRPr="00B3476E" w:rsidRDefault="00510CFA" w:rsidP="00510CFA">
      <w:pPr>
        <w:rPr>
          <w:rFonts w:ascii="Times New Roman" w:hAnsi="Times New Roman" w:cs="Times New Roman"/>
          <w:sz w:val="20"/>
          <w:szCs w:val="20"/>
          <w:lang w:val="el-GR"/>
        </w:rPr>
      </w:pPr>
      <w:r w:rsidRPr="00B366E6">
        <w:rPr>
          <w:rFonts w:ascii="Times New Roman" w:hAnsi="Times New Roman" w:cs="Times New Roman"/>
          <w:sz w:val="20"/>
          <w:szCs w:val="20"/>
          <w:lang w:val="el-GR"/>
        </w:rPr>
        <w:t>Οι προγνωστικοί παράγοντες χρησιμεύουν για τη μέτρηση του προγνωστικού δείκτη που ποικίλει ανάλογα με τον τύπο του λεμφώματος. Για τα επιθετικά λεμφώματα χρησιμοποιείται ο διεθνής προγνωστικός δείκτης (</w:t>
      </w:r>
      <w:r w:rsidRPr="00B366E6">
        <w:rPr>
          <w:rFonts w:ascii="Times New Roman" w:hAnsi="Times New Roman" w:cs="Times New Roman"/>
          <w:sz w:val="20"/>
          <w:szCs w:val="20"/>
        </w:rPr>
        <w:t>IPI</w:t>
      </w:r>
      <w:r w:rsidRPr="00B366E6">
        <w:rPr>
          <w:rFonts w:ascii="Times New Roman" w:hAnsi="Times New Roman" w:cs="Times New Roman"/>
          <w:sz w:val="20"/>
          <w:szCs w:val="20"/>
          <w:lang w:val="el-GR"/>
        </w:rPr>
        <w:t xml:space="preserve"> - </w:t>
      </w:r>
      <w:r w:rsidRPr="00B366E6">
        <w:rPr>
          <w:rFonts w:ascii="Times New Roman" w:hAnsi="Times New Roman" w:cs="Times New Roman"/>
          <w:sz w:val="20"/>
          <w:szCs w:val="20"/>
        </w:rPr>
        <w:t>International</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Prognostic</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Index</w:t>
      </w:r>
      <w:r w:rsidRPr="00B366E6">
        <w:rPr>
          <w:rFonts w:ascii="Times New Roman" w:hAnsi="Times New Roman" w:cs="Times New Roman"/>
          <w:sz w:val="20"/>
          <w:szCs w:val="20"/>
          <w:lang w:val="el-GR"/>
        </w:rPr>
        <w:t>), για το οζώδες λέμφωμα χρησιμοποιείται ο διεθνής προγνωστικός δείκτης για το οζώδες λέμφωμα (</w:t>
      </w:r>
      <w:r w:rsidRPr="00B366E6">
        <w:rPr>
          <w:rFonts w:ascii="Times New Roman" w:hAnsi="Times New Roman" w:cs="Times New Roman"/>
          <w:sz w:val="20"/>
          <w:szCs w:val="20"/>
        </w:rPr>
        <w:t>FLIPI</w:t>
      </w:r>
      <w:r w:rsidRPr="00B366E6">
        <w:rPr>
          <w:rFonts w:ascii="Times New Roman" w:hAnsi="Times New Roman" w:cs="Times New Roman"/>
          <w:sz w:val="20"/>
          <w:szCs w:val="20"/>
          <w:lang w:val="el-GR"/>
        </w:rPr>
        <w:t xml:space="preserve"> - </w:t>
      </w:r>
      <w:r w:rsidRPr="00B366E6">
        <w:rPr>
          <w:rFonts w:ascii="Times New Roman" w:hAnsi="Times New Roman" w:cs="Times New Roman"/>
          <w:sz w:val="20"/>
          <w:szCs w:val="20"/>
        </w:rPr>
        <w:t>Follicular</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Lymphoma</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International</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Prognostic</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Index</w:t>
      </w:r>
      <w:r w:rsidRPr="00B366E6">
        <w:rPr>
          <w:rFonts w:ascii="Times New Roman" w:hAnsi="Times New Roman" w:cs="Times New Roman"/>
          <w:sz w:val="20"/>
          <w:szCs w:val="20"/>
          <w:lang w:val="el-GR"/>
        </w:rPr>
        <w:t>) και για τα λεμφώματα μανδύα χρησιμοποιείται ο διεθνής προγνωστικός δείκτης λεμφώματος κυττάρων του μανδύα (</w:t>
      </w:r>
      <w:r w:rsidRPr="00B366E6">
        <w:rPr>
          <w:rFonts w:ascii="Times New Roman" w:hAnsi="Times New Roman" w:cs="Times New Roman"/>
          <w:sz w:val="20"/>
          <w:szCs w:val="20"/>
        </w:rPr>
        <w:t>MIPI</w:t>
      </w:r>
      <w:r w:rsidRPr="00B366E6">
        <w:rPr>
          <w:rFonts w:ascii="Times New Roman" w:hAnsi="Times New Roman" w:cs="Times New Roman"/>
          <w:sz w:val="20"/>
          <w:szCs w:val="20"/>
          <w:lang w:val="el-GR"/>
        </w:rPr>
        <w:t xml:space="preserve"> - </w:t>
      </w:r>
      <w:r w:rsidRPr="00B366E6">
        <w:rPr>
          <w:rFonts w:ascii="Times New Roman" w:hAnsi="Times New Roman" w:cs="Times New Roman"/>
          <w:sz w:val="20"/>
          <w:szCs w:val="20"/>
        </w:rPr>
        <w:t>Mantle</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Cell</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Lymphoma</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International</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Prognostic</w:t>
      </w:r>
      <w:r w:rsidRPr="00B366E6">
        <w:rPr>
          <w:rFonts w:ascii="Times New Roman" w:hAnsi="Times New Roman" w:cs="Times New Roman"/>
          <w:sz w:val="20"/>
          <w:szCs w:val="20"/>
          <w:lang w:val="el-GR"/>
        </w:rPr>
        <w:t xml:space="preserve"> </w:t>
      </w:r>
      <w:r w:rsidRPr="00B366E6">
        <w:rPr>
          <w:rFonts w:ascii="Times New Roman" w:hAnsi="Times New Roman" w:cs="Times New Roman"/>
          <w:sz w:val="20"/>
          <w:szCs w:val="20"/>
        </w:rPr>
        <w:t>Index</w:t>
      </w:r>
      <w:r w:rsidRPr="00B366E6">
        <w:rPr>
          <w:rFonts w:ascii="Times New Roman" w:hAnsi="Times New Roman" w:cs="Times New Roman"/>
          <w:sz w:val="20"/>
          <w:szCs w:val="20"/>
          <w:lang w:val="el-GR"/>
        </w:rPr>
        <w:t>).</w:t>
      </w:r>
    </w:p>
    <w:p w:rsidR="00B366E6" w:rsidRPr="00B3476E" w:rsidRDefault="00B366E6" w:rsidP="00B366E6">
      <w:pPr>
        <w:rPr>
          <w:rFonts w:ascii="Times New Roman" w:hAnsi="Times New Roman" w:cs="Times New Roman"/>
          <w:b/>
          <w:szCs w:val="20"/>
          <w:lang w:val="el-GR"/>
        </w:rPr>
      </w:pPr>
      <w:r w:rsidRPr="00B366E6">
        <w:rPr>
          <w:rFonts w:ascii="Times New Roman" w:hAnsi="Times New Roman" w:cs="Times New Roman"/>
          <w:b/>
          <w:szCs w:val="20"/>
          <w:lang w:val="el-GR"/>
        </w:rPr>
        <w:t>Θεραπεία</w:t>
      </w:r>
    </w:p>
    <w:p w:rsidR="00B366E6" w:rsidRPr="00B366E6" w:rsidRDefault="00B366E6" w:rsidP="00B366E6">
      <w:pPr>
        <w:rPr>
          <w:rFonts w:ascii="Times New Roman" w:hAnsi="Times New Roman" w:cs="Times New Roman"/>
          <w:sz w:val="20"/>
          <w:szCs w:val="20"/>
          <w:lang w:val="el-GR"/>
        </w:rPr>
      </w:pPr>
      <w:r w:rsidRPr="00B366E6">
        <w:rPr>
          <w:rFonts w:ascii="Times New Roman" w:hAnsi="Times New Roman" w:cs="Times New Roman"/>
          <w:sz w:val="20"/>
          <w:szCs w:val="20"/>
          <w:lang w:val="el-GR"/>
        </w:rPr>
        <w:t>Μετά από τη διάγνωση του μη-</w:t>
      </w:r>
      <w:r w:rsidRPr="00B366E6">
        <w:rPr>
          <w:rFonts w:ascii="Times New Roman" w:hAnsi="Times New Roman" w:cs="Times New Roman"/>
          <w:sz w:val="20"/>
          <w:szCs w:val="20"/>
        </w:rPr>
        <w:t>Hodgkin</w:t>
      </w:r>
      <w:r w:rsidRPr="00B366E6">
        <w:rPr>
          <w:rFonts w:ascii="Times New Roman" w:hAnsi="Times New Roman" w:cs="Times New Roman"/>
          <w:sz w:val="20"/>
          <w:szCs w:val="20"/>
          <w:lang w:val="el-GR"/>
        </w:rPr>
        <w:t xml:space="preserve"> λεμφώματος χρειάζεται να αποφασιστεί η πλέον αρμόζουσα θεραπευτική στρατηγική με βάση τον τύπο του μη-</w:t>
      </w:r>
      <w:r w:rsidRPr="00B366E6">
        <w:rPr>
          <w:rFonts w:ascii="Times New Roman" w:hAnsi="Times New Roman" w:cs="Times New Roman"/>
          <w:sz w:val="20"/>
          <w:szCs w:val="20"/>
        </w:rPr>
        <w:t>Hodgkin</w:t>
      </w:r>
      <w:r w:rsidRPr="00B366E6">
        <w:rPr>
          <w:rFonts w:ascii="Times New Roman" w:hAnsi="Times New Roman" w:cs="Times New Roman"/>
          <w:sz w:val="20"/>
          <w:szCs w:val="20"/>
          <w:lang w:val="el-GR"/>
        </w:rPr>
        <w:t xml:space="preserve"> λεμφώματος, το στάδιο του λεμφώματος και την εκτίμηση των προγνωστικών παραγόντων. Οι κυριότερες θεραπείες για τα μη-</w:t>
      </w:r>
      <w:r w:rsidRPr="00B366E6">
        <w:rPr>
          <w:rFonts w:ascii="Times New Roman" w:hAnsi="Times New Roman" w:cs="Times New Roman"/>
          <w:sz w:val="20"/>
          <w:szCs w:val="20"/>
        </w:rPr>
        <w:t>Hodgkin</w:t>
      </w:r>
      <w:r>
        <w:rPr>
          <w:rFonts w:ascii="Times New Roman" w:hAnsi="Times New Roman" w:cs="Times New Roman"/>
          <w:sz w:val="20"/>
          <w:szCs w:val="20"/>
          <w:lang w:val="el-GR"/>
        </w:rPr>
        <w:t xml:space="preserve"> λεμφώματα είναι οι εξής:</w:t>
      </w:r>
    </w:p>
    <w:p w:rsidR="00B366E6" w:rsidRPr="00B366E6" w:rsidRDefault="00B366E6" w:rsidP="00B366E6">
      <w:pPr>
        <w:pStyle w:val="ListParagraph"/>
        <w:numPr>
          <w:ilvl w:val="0"/>
          <w:numId w:val="11"/>
        </w:numPr>
        <w:rPr>
          <w:rFonts w:ascii="Times New Roman" w:hAnsi="Times New Roman" w:cs="Times New Roman"/>
          <w:sz w:val="20"/>
          <w:szCs w:val="20"/>
          <w:lang w:val="el-GR"/>
        </w:rPr>
      </w:pPr>
      <w:r w:rsidRPr="00B366E6">
        <w:rPr>
          <w:rFonts w:ascii="Times New Roman" w:hAnsi="Times New Roman" w:cs="Times New Roman"/>
          <w:sz w:val="20"/>
          <w:szCs w:val="20"/>
          <w:lang w:val="el-GR"/>
        </w:rPr>
        <w:t>Χημειοθεραπεία</w:t>
      </w:r>
    </w:p>
    <w:p w:rsidR="00B366E6" w:rsidRPr="00B366E6" w:rsidRDefault="00B366E6" w:rsidP="00B366E6">
      <w:pPr>
        <w:pStyle w:val="ListParagraph"/>
        <w:numPr>
          <w:ilvl w:val="0"/>
          <w:numId w:val="11"/>
        </w:numPr>
        <w:rPr>
          <w:rFonts w:ascii="Times New Roman" w:hAnsi="Times New Roman" w:cs="Times New Roman"/>
          <w:sz w:val="20"/>
          <w:szCs w:val="20"/>
          <w:lang w:val="el-GR"/>
        </w:rPr>
      </w:pPr>
      <w:r w:rsidRPr="00B366E6">
        <w:rPr>
          <w:rFonts w:ascii="Times New Roman" w:hAnsi="Times New Roman" w:cs="Times New Roman"/>
          <w:sz w:val="20"/>
          <w:szCs w:val="20"/>
          <w:lang w:val="el-GR"/>
        </w:rPr>
        <w:lastRenderedPageBreak/>
        <w:t>Ακτινοθεραπεία</w:t>
      </w:r>
    </w:p>
    <w:p w:rsidR="00B366E6" w:rsidRPr="00B366E6" w:rsidRDefault="00B366E6" w:rsidP="00B366E6">
      <w:pPr>
        <w:pStyle w:val="ListParagraph"/>
        <w:numPr>
          <w:ilvl w:val="0"/>
          <w:numId w:val="11"/>
        </w:numPr>
        <w:rPr>
          <w:rFonts w:ascii="Times New Roman" w:hAnsi="Times New Roman" w:cs="Times New Roman"/>
          <w:sz w:val="20"/>
          <w:szCs w:val="20"/>
          <w:lang w:val="el-GR"/>
        </w:rPr>
      </w:pPr>
      <w:r w:rsidRPr="00B366E6">
        <w:rPr>
          <w:rFonts w:ascii="Times New Roman" w:hAnsi="Times New Roman" w:cs="Times New Roman"/>
          <w:sz w:val="20"/>
          <w:szCs w:val="20"/>
          <w:lang w:val="el-GR"/>
        </w:rPr>
        <w:t xml:space="preserve">Ανοσοθεραπεία με </w:t>
      </w:r>
      <w:proofErr w:type="spellStart"/>
      <w:r w:rsidRPr="00B366E6">
        <w:rPr>
          <w:rFonts w:ascii="Times New Roman" w:hAnsi="Times New Roman" w:cs="Times New Roman"/>
          <w:sz w:val="20"/>
          <w:szCs w:val="20"/>
          <w:lang w:val="el-GR"/>
        </w:rPr>
        <w:t>μονοκλωνικά</w:t>
      </w:r>
      <w:proofErr w:type="spellEnd"/>
      <w:r w:rsidRPr="00B366E6">
        <w:rPr>
          <w:rFonts w:ascii="Times New Roman" w:hAnsi="Times New Roman" w:cs="Times New Roman"/>
          <w:sz w:val="20"/>
          <w:szCs w:val="20"/>
          <w:lang w:val="el-GR"/>
        </w:rPr>
        <w:t xml:space="preserve"> αντισώματα</w:t>
      </w:r>
    </w:p>
    <w:p w:rsidR="00B366E6" w:rsidRPr="00B366E6" w:rsidRDefault="00B366E6" w:rsidP="00B366E6">
      <w:pPr>
        <w:pStyle w:val="ListParagraph"/>
        <w:numPr>
          <w:ilvl w:val="0"/>
          <w:numId w:val="11"/>
        </w:numPr>
        <w:rPr>
          <w:rFonts w:ascii="Times New Roman" w:hAnsi="Times New Roman" w:cs="Times New Roman"/>
          <w:sz w:val="20"/>
          <w:szCs w:val="20"/>
          <w:lang w:val="el-GR"/>
        </w:rPr>
      </w:pPr>
      <w:r w:rsidRPr="00B366E6">
        <w:rPr>
          <w:rFonts w:ascii="Times New Roman" w:hAnsi="Times New Roman" w:cs="Times New Roman"/>
          <w:sz w:val="20"/>
          <w:szCs w:val="20"/>
          <w:lang w:val="el-GR"/>
        </w:rPr>
        <w:t>Μεταμόσχευση αρχέγονων αιμοποιητικών κυττάρων</w:t>
      </w:r>
    </w:p>
    <w:p w:rsidR="00B366E6" w:rsidRPr="00B3476E" w:rsidRDefault="00B366E6" w:rsidP="00B366E6">
      <w:pPr>
        <w:rPr>
          <w:rFonts w:ascii="Times New Roman" w:hAnsi="Times New Roman" w:cs="Times New Roman"/>
          <w:sz w:val="20"/>
          <w:szCs w:val="20"/>
          <w:lang w:val="el-GR"/>
        </w:rPr>
      </w:pPr>
      <w:r w:rsidRPr="00B366E6">
        <w:rPr>
          <w:rFonts w:ascii="Times New Roman" w:hAnsi="Times New Roman" w:cs="Times New Roman"/>
          <w:sz w:val="20"/>
          <w:szCs w:val="20"/>
          <w:lang w:val="el-GR"/>
        </w:rPr>
        <w:t xml:space="preserve">Τα λεμφώματα παρουσιάζουν σημαντική ετερογένεια από κλινικής και παθολογικής πλευράς με αποτέλεσμα να απαιτείται διαφορετική θεραπεία για την αντιμετώπιση των διαφόρων </w:t>
      </w:r>
      <w:proofErr w:type="spellStart"/>
      <w:r w:rsidRPr="00B366E6">
        <w:rPr>
          <w:rFonts w:ascii="Times New Roman" w:hAnsi="Times New Roman" w:cs="Times New Roman"/>
          <w:sz w:val="20"/>
          <w:szCs w:val="20"/>
          <w:lang w:val="el-GR"/>
        </w:rPr>
        <w:t>υποτύπων</w:t>
      </w:r>
      <w:proofErr w:type="spellEnd"/>
      <w:r w:rsidRPr="00B366E6">
        <w:rPr>
          <w:rFonts w:ascii="Times New Roman" w:hAnsi="Times New Roman" w:cs="Times New Roman"/>
          <w:sz w:val="20"/>
          <w:szCs w:val="20"/>
          <w:lang w:val="el-GR"/>
        </w:rPr>
        <w:t>.</w:t>
      </w:r>
    </w:p>
    <w:p w:rsidR="00B366E6" w:rsidRPr="00B3476E" w:rsidRDefault="00B366E6" w:rsidP="00B366E6">
      <w:pPr>
        <w:rPr>
          <w:rFonts w:ascii="Times New Roman" w:hAnsi="Times New Roman" w:cs="Times New Roman"/>
          <w:sz w:val="20"/>
          <w:szCs w:val="20"/>
          <w:lang w:val="el-GR"/>
        </w:rPr>
      </w:pPr>
    </w:p>
    <w:p w:rsidR="00430144" w:rsidRPr="00430144" w:rsidRDefault="00430144" w:rsidP="00430144">
      <w:pPr>
        <w:rPr>
          <w:rFonts w:ascii="Times New Roman" w:hAnsi="Times New Roman" w:cs="Times New Roman"/>
          <w:sz w:val="16"/>
          <w:szCs w:val="20"/>
        </w:rPr>
      </w:pPr>
      <w:proofErr w:type="spellStart"/>
      <w:r w:rsidRPr="00430144">
        <w:rPr>
          <w:rFonts w:ascii="Times New Roman" w:hAnsi="Times New Roman" w:cs="Times New Roman"/>
          <w:sz w:val="16"/>
          <w:szCs w:val="20"/>
        </w:rPr>
        <w:t>Βι</w:t>
      </w:r>
      <w:proofErr w:type="spellEnd"/>
      <w:r w:rsidRPr="00430144">
        <w:rPr>
          <w:rFonts w:ascii="Times New Roman" w:hAnsi="Times New Roman" w:cs="Times New Roman"/>
          <w:sz w:val="16"/>
          <w:szCs w:val="20"/>
        </w:rPr>
        <w:t>βλιογραφία</w:t>
      </w:r>
    </w:p>
    <w:p w:rsidR="00430144" w:rsidRPr="00B3476E" w:rsidRDefault="00430144" w:rsidP="00430144">
      <w:pPr>
        <w:rPr>
          <w:rFonts w:ascii="Times New Roman" w:hAnsi="Times New Roman" w:cs="Times New Roman"/>
          <w:sz w:val="16"/>
          <w:szCs w:val="20"/>
          <w:lang w:val="el-GR"/>
        </w:rPr>
      </w:pPr>
      <w:proofErr w:type="gramStart"/>
      <w:r w:rsidRPr="00430144">
        <w:rPr>
          <w:rFonts w:ascii="Times New Roman" w:hAnsi="Times New Roman" w:cs="Times New Roman"/>
          <w:sz w:val="16"/>
          <w:szCs w:val="20"/>
        </w:rPr>
        <w:t>1.Campo</w:t>
      </w:r>
      <w:proofErr w:type="gramEnd"/>
      <w:r w:rsidRPr="00430144">
        <w:rPr>
          <w:rFonts w:ascii="Times New Roman" w:hAnsi="Times New Roman" w:cs="Times New Roman"/>
          <w:sz w:val="16"/>
          <w:szCs w:val="20"/>
        </w:rPr>
        <w:t xml:space="preserve"> E et al., The 2008WHO classification of lymphoid neoplasms and beyond: evolving concepts and practical applications. Blood</w:t>
      </w:r>
      <w:r w:rsidRPr="00430144">
        <w:rPr>
          <w:rFonts w:ascii="Times New Roman" w:hAnsi="Times New Roman" w:cs="Times New Roman"/>
          <w:sz w:val="16"/>
          <w:szCs w:val="20"/>
          <w:lang w:val="el-GR"/>
        </w:rPr>
        <w:t xml:space="preserve"> 2011, 117(19): 5019.</w:t>
      </w:r>
    </w:p>
    <w:p w:rsidR="00430144" w:rsidRPr="00430144" w:rsidRDefault="00430144" w:rsidP="00430144">
      <w:pPr>
        <w:rPr>
          <w:rFonts w:ascii="Times New Roman" w:hAnsi="Times New Roman" w:cs="Times New Roman"/>
          <w:sz w:val="16"/>
          <w:szCs w:val="20"/>
          <w:lang w:val="el-GR"/>
        </w:rPr>
      </w:pPr>
      <w:r w:rsidRPr="00430144">
        <w:rPr>
          <w:rFonts w:ascii="Times New Roman" w:hAnsi="Times New Roman" w:cs="Times New Roman"/>
          <w:sz w:val="16"/>
          <w:szCs w:val="20"/>
          <w:lang w:val="el-GR"/>
        </w:rPr>
        <w:t>2.Οικονομόπουλος Θ. Κακοήθη αιματολογικά νοσήματα. 2009 Εκδόσεις Π.Χ ΠΑΣΧΑΛΙΔΗΣ ΕΠΕ.</w:t>
      </w:r>
    </w:p>
    <w:p w:rsidR="00430144" w:rsidRPr="00430144" w:rsidRDefault="00E93162" w:rsidP="00430144">
      <w:pPr>
        <w:rPr>
          <w:rFonts w:ascii="Times New Roman" w:hAnsi="Times New Roman" w:cs="Times New Roman"/>
          <w:sz w:val="16"/>
          <w:szCs w:val="20"/>
        </w:rPr>
      </w:pPr>
      <w:proofErr w:type="gramStart"/>
      <w:r>
        <w:rPr>
          <w:rFonts w:ascii="Times New Roman" w:hAnsi="Times New Roman" w:cs="Times New Roman"/>
          <w:sz w:val="16"/>
          <w:szCs w:val="20"/>
        </w:rPr>
        <w:t>3</w:t>
      </w:r>
      <w:r w:rsidR="00430144" w:rsidRPr="00430144">
        <w:rPr>
          <w:rFonts w:ascii="Times New Roman" w:hAnsi="Times New Roman" w:cs="Times New Roman"/>
          <w:sz w:val="16"/>
          <w:szCs w:val="20"/>
        </w:rPr>
        <w:t>.De</w:t>
      </w:r>
      <w:proofErr w:type="gramEnd"/>
      <w:r w:rsidR="00430144" w:rsidRPr="00430144">
        <w:rPr>
          <w:rFonts w:ascii="Times New Roman" w:hAnsi="Times New Roman" w:cs="Times New Roman"/>
          <w:sz w:val="16"/>
          <w:szCs w:val="20"/>
        </w:rPr>
        <w:t xml:space="preserve"> </w:t>
      </w:r>
      <w:proofErr w:type="spellStart"/>
      <w:r w:rsidR="00430144" w:rsidRPr="00430144">
        <w:rPr>
          <w:rFonts w:ascii="Times New Roman" w:hAnsi="Times New Roman" w:cs="Times New Roman"/>
          <w:sz w:val="16"/>
          <w:szCs w:val="20"/>
        </w:rPr>
        <w:t>Paepe</w:t>
      </w:r>
      <w:proofErr w:type="spellEnd"/>
      <w:r w:rsidR="00430144" w:rsidRPr="00430144">
        <w:rPr>
          <w:rFonts w:ascii="Times New Roman" w:hAnsi="Times New Roman" w:cs="Times New Roman"/>
          <w:sz w:val="16"/>
          <w:szCs w:val="20"/>
        </w:rPr>
        <w:t xml:space="preserve"> P. et al., Diffuse large B-cell lymphoma: A heterogeneous group of non-Hodgkin’s lymphomas comprising several distinct </w:t>
      </w:r>
      <w:proofErr w:type="spellStart"/>
      <w:r w:rsidR="00430144" w:rsidRPr="00430144">
        <w:rPr>
          <w:rFonts w:ascii="Times New Roman" w:hAnsi="Times New Roman" w:cs="Times New Roman"/>
          <w:sz w:val="16"/>
          <w:szCs w:val="20"/>
        </w:rPr>
        <w:t>clinicopathological</w:t>
      </w:r>
      <w:proofErr w:type="spellEnd"/>
      <w:r w:rsidR="00430144" w:rsidRPr="00430144">
        <w:rPr>
          <w:rFonts w:ascii="Times New Roman" w:hAnsi="Times New Roman" w:cs="Times New Roman"/>
          <w:sz w:val="16"/>
          <w:szCs w:val="20"/>
        </w:rPr>
        <w:t xml:space="preserve"> entities. Leukemia 2007, 21:37–43.</w:t>
      </w:r>
    </w:p>
    <w:sectPr w:rsidR="00430144" w:rsidRPr="00430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B0D"/>
    <w:multiLevelType w:val="multilevel"/>
    <w:tmpl w:val="4756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78A6"/>
    <w:multiLevelType w:val="multilevel"/>
    <w:tmpl w:val="9A6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03E11"/>
    <w:multiLevelType w:val="hybridMultilevel"/>
    <w:tmpl w:val="A8D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D3BD0"/>
    <w:multiLevelType w:val="hybridMultilevel"/>
    <w:tmpl w:val="DA4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86BBF"/>
    <w:multiLevelType w:val="hybridMultilevel"/>
    <w:tmpl w:val="760A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E2001"/>
    <w:multiLevelType w:val="hybridMultilevel"/>
    <w:tmpl w:val="F64C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1414B"/>
    <w:multiLevelType w:val="hybridMultilevel"/>
    <w:tmpl w:val="661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F3309"/>
    <w:multiLevelType w:val="multilevel"/>
    <w:tmpl w:val="4124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70274"/>
    <w:multiLevelType w:val="multilevel"/>
    <w:tmpl w:val="9330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16382"/>
    <w:multiLevelType w:val="multilevel"/>
    <w:tmpl w:val="5F74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419A4"/>
    <w:multiLevelType w:val="multilevel"/>
    <w:tmpl w:val="CEC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10"/>
  </w:num>
  <w:num w:numId="5">
    <w:abstractNumId w:val="7"/>
  </w:num>
  <w:num w:numId="6">
    <w:abstractNumId w:val="0"/>
  </w:num>
  <w:num w:numId="7">
    <w:abstractNumId w:val="4"/>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C3"/>
    <w:rsid w:val="0022454B"/>
    <w:rsid w:val="003556C3"/>
    <w:rsid w:val="003B651E"/>
    <w:rsid w:val="00430144"/>
    <w:rsid w:val="004F1794"/>
    <w:rsid w:val="00510CFA"/>
    <w:rsid w:val="008E132C"/>
    <w:rsid w:val="00B16DBA"/>
    <w:rsid w:val="00B3476E"/>
    <w:rsid w:val="00B366E6"/>
    <w:rsid w:val="00D32C38"/>
    <w:rsid w:val="00E9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2C"/>
    <w:pPr>
      <w:ind w:left="720"/>
      <w:contextualSpacing/>
    </w:pPr>
  </w:style>
  <w:style w:type="paragraph" w:styleId="BalloonText">
    <w:name w:val="Balloon Text"/>
    <w:basedOn w:val="Normal"/>
    <w:link w:val="BalloonTextChar"/>
    <w:uiPriority w:val="99"/>
    <w:semiHidden/>
    <w:unhideWhenUsed/>
    <w:rsid w:val="0022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2C"/>
    <w:pPr>
      <w:ind w:left="720"/>
      <w:contextualSpacing/>
    </w:pPr>
  </w:style>
  <w:style w:type="paragraph" w:styleId="BalloonText">
    <w:name w:val="Balloon Text"/>
    <w:basedOn w:val="Normal"/>
    <w:link w:val="BalloonTextChar"/>
    <w:uiPriority w:val="99"/>
    <w:semiHidden/>
    <w:unhideWhenUsed/>
    <w:rsid w:val="0022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1581">
      <w:bodyDiv w:val="1"/>
      <w:marLeft w:val="0"/>
      <w:marRight w:val="0"/>
      <w:marTop w:val="0"/>
      <w:marBottom w:val="0"/>
      <w:divBdr>
        <w:top w:val="none" w:sz="0" w:space="0" w:color="auto"/>
        <w:left w:val="none" w:sz="0" w:space="0" w:color="auto"/>
        <w:bottom w:val="none" w:sz="0" w:space="0" w:color="auto"/>
        <w:right w:val="none" w:sz="0" w:space="0" w:color="auto"/>
      </w:divBdr>
      <w:divsChild>
        <w:div w:id="1749114056">
          <w:marLeft w:val="0"/>
          <w:marRight w:val="0"/>
          <w:marTop w:val="0"/>
          <w:marBottom w:val="0"/>
          <w:divBdr>
            <w:top w:val="none" w:sz="0" w:space="0" w:color="auto"/>
            <w:left w:val="none" w:sz="0" w:space="0" w:color="auto"/>
            <w:bottom w:val="none" w:sz="0" w:space="0" w:color="auto"/>
            <w:right w:val="none" w:sz="0" w:space="0" w:color="auto"/>
          </w:divBdr>
          <w:divsChild>
            <w:div w:id="1318801393">
              <w:marLeft w:val="0"/>
              <w:marRight w:val="0"/>
              <w:marTop w:val="0"/>
              <w:marBottom w:val="0"/>
              <w:divBdr>
                <w:top w:val="none" w:sz="0" w:space="0" w:color="auto"/>
                <w:left w:val="none" w:sz="0" w:space="0" w:color="auto"/>
                <w:bottom w:val="none" w:sz="0" w:space="0" w:color="auto"/>
                <w:right w:val="none" w:sz="0" w:space="0" w:color="auto"/>
              </w:divBdr>
              <w:divsChild>
                <w:div w:id="622074341">
                  <w:marLeft w:val="0"/>
                  <w:marRight w:val="0"/>
                  <w:marTop w:val="0"/>
                  <w:marBottom w:val="0"/>
                  <w:divBdr>
                    <w:top w:val="none" w:sz="0" w:space="0" w:color="auto"/>
                    <w:left w:val="none" w:sz="0" w:space="0" w:color="auto"/>
                    <w:bottom w:val="none" w:sz="0" w:space="0" w:color="auto"/>
                    <w:right w:val="none" w:sz="0" w:space="0" w:color="auto"/>
                  </w:divBdr>
                  <w:divsChild>
                    <w:div w:id="1594895077">
                      <w:marLeft w:val="0"/>
                      <w:marRight w:val="0"/>
                      <w:marTop w:val="0"/>
                      <w:marBottom w:val="0"/>
                      <w:divBdr>
                        <w:top w:val="none" w:sz="0" w:space="0" w:color="auto"/>
                        <w:left w:val="none" w:sz="0" w:space="0" w:color="auto"/>
                        <w:bottom w:val="none" w:sz="0" w:space="0" w:color="auto"/>
                        <w:right w:val="none" w:sz="0" w:space="0" w:color="auto"/>
                      </w:divBdr>
                      <w:divsChild>
                        <w:div w:id="2059042494">
                          <w:marLeft w:val="0"/>
                          <w:marRight w:val="0"/>
                          <w:marTop w:val="0"/>
                          <w:marBottom w:val="0"/>
                          <w:divBdr>
                            <w:top w:val="none" w:sz="0" w:space="0" w:color="auto"/>
                            <w:left w:val="none" w:sz="0" w:space="0" w:color="auto"/>
                            <w:bottom w:val="none" w:sz="0" w:space="0" w:color="auto"/>
                            <w:right w:val="none" w:sz="0" w:space="0" w:color="auto"/>
                          </w:divBdr>
                          <w:divsChild>
                            <w:div w:id="1690259171">
                              <w:marLeft w:val="0"/>
                              <w:marRight w:val="0"/>
                              <w:marTop w:val="0"/>
                              <w:marBottom w:val="0"/>
                              <w:divBdr>
                                <w:top w:val="none" w:sz="0" w:space="0" w:color="auto"/>
                                <w:left w:val="none" w:sz="0" w:space="0" w:color="auto"/>
                                <w:bottom w:val="none" w:sz="0" w:space="0" w:color="auto"/>
                                <w:right w:val="none" w:sz="0" w:space="0" w:color="auto"/>
                              </w:divBdr>
                              <w:divsChild>
                                <w:div w:id="1510682850">
                                  <w:marLeft w:val="0"/>
                                  <w:marRight w:val="0"/>
                                  <w:marTop w:val="0"/>
                                  <w:marBottom w:val="0"/>
                                  <w:divBdr>
                                    <w:top w:val="none" w:sz="0" w:space="0" w:color="auto"/>
                                    <w:left w:val="none" w:sz="0" w:space="0" w:color="auto"/>
                                    <w:bottom w:val="none" w:sz="0" w:space="0" w:color="auto"/>
                                    <w:right w:val="none" w:sz="0" w:space="0" w:color="auto"/>
                                  </w:divBdr>
                                  <w:divsChild>
                                    <w:div w:id="1762793177">
                                      <w:marLeft w:val="0"/>
                                      <w:marRight w:val="0"/>
                                      <w:marTop w:val="0"/>
                                      <w:marBottom w:val="0"/>
                                      <w:divBdr>
                                        <w:top w:val="none" w:sz="0" w:space="0" w:color="auto"/>
                                        <w:left w:val="none" w:sz="0" w:space="0" w:color="auto"/>
                                        <w:bottom w:val="none" w:sz="0" w:space="0" w:color="auto"/>
                                        <w:right w:val="none" w:sz="0" w:space="0" w:color="auto"/>
                                      </w:divBdr>
                                      <w:divsChild>
                                        <w:div w:id="976836206">
                                          <w:marLeft w:val="0"/>
                                          <w:marRight w:val="0"/>
                                          <w:marTop w:val="0"/>
                                          <w:marBottom w:val="0"/>
                                          <w:divBdr>
                                            <w:top w:val="none" w:sz="0" w:space="0" w:color="auto"/>
                                            <w:left w:val="none" w:sz="0" w:space="0" w:color="auto"/>
                                            <w:bottom w:val="none" w:sz="0" w:space="0" w:color="auto"/>
                                            <w:right w:val="none" w:sz="0" w:space="0" w:color="auto"/>
                                          </w:divBdr>
                                          <w:divsChild>
                                            <w:div w:id="1264219202">
                                              <w:marLeft w:val="0"/>
                                              <w:marRight w:val="0"/>
                                              <w:marTop w:val="0"/>
                                              <w:marBottom w:val="0"/>
                                              <w:divBdr>
                                                <w:top w:val="none" w:sz="0" w:space="0" w:color="auto"/>
                                                <w:left w:val="none" w:sz="0" w:space="0" w:color="auto"/>
                                                <w:bottom w:val="none" w:sz="0" w:space="0" w:color="auto"/>
                                                <w:right w:val="none" w:sz="0" w:space="0" w:color="auto"/>
                                              </w:divBdr>
                                              <w:divsChild>
                                                <w:div w:id="5266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7776">
                                      <w:marLeft w:val="0"/>
                                      <w:marRight w:val="0"/>
                                      <w:marTop w:val="0"/>
                                      <w:marBottom w:val="0"/>
                                      <w:divBdr>
                                        <w:top w:val="none" w:sz="0" w:space="0" w:color="auto"/>
                                        <w:left w:val="none" w:sz="0" w:space="0" w:color="auto"/>
                                        <w:bottom w:val="none" w:sz="0" w:space="0" w:color="auto"/>
                                        <w:right w:val="none" w:sz="0" w:space="0" w:color="auto"/>
                                      </w:divBdr>
                                      <w:divsChild>
                                        <w:div w:id="146361215">
                                          <w:marLeft w:val="0"/>
                                          <w:marRight w:val="0"/>
                                          <w:marTop w:val="0"/>
                                          <w:marBottom w:val="0"/>
                                          <w:divBdr>
                                            <w:top w:val="none" w:sz="0" w:space="0" w:color="auto"/>
                                            <w:left w:val="none" w:sz="0" w:space="0" w:color="auto"/>
                                            <w:bottom w:val="none" w:sz="0" w:space="0" w:color="auto"/>
                                            <w:right w:val="none" w:sz="0" w:space="0" w:color="auto"/>
                                          </w:divBdr>
                                          <w:divsChild>
                                            <w:div w:id="636422465">
                                              <w:marLeft w:val="0"/>
                                              <w:marRight w:val="0"/>
                                              <w:marTop w:val="0"/>
                                              <w:marBottom w:val="0"/>
                                              <w:divBdr>
                                                <w:top w:val="none" w:sz="0" w:space="0" w:color="auto"/>
                                                <w:left w:val="none" w:sz="0" w:space="0" w:color="auto"/>
                                                <w:bottom w:val="none" w:sz="0" w:space="0" w:color="auto"/>
                                                <w:right w:val="none" w:sz="0" w:space="0" w:color="auto"/>
                                              </w:divBdr>
                                              <w:divsChild>
                                                <w:div w:id="21016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9279">
                                      <w:marLeft w:val="0"/>
                                      <w:marRight w:val="0"/>
                                      <w:marTop w:val="0"/>
                                      <w:marBottom w:val="0"/>
                                      <w:divBdr>
                                        <w:top w:val="none" w:sz="0" w:space="0" w:color="auto"/>
                                        <w:left w:val="none" w:sz="0" w:space="0" w:color="auto"/>
                                        <w:bottom w:val="none" w:sz="0" w:space="0" w:color="auto"/>
                                        <w:right w:val="none" w:sz="0" w:space="0" w:color="auto"/>
                                      </w:divBdr>
                                      <w:divsChild>
                                        <w:div w:id="119805630">
                                          <w:marLeft w:val="0"/>
                                          <w:marRight w:val="0"/>
                                          <w:marTop w:val="0"/>
                                          <w:marBottom w:val="0"/>
                                          <w:divBdr>
                                            <w:top w:val="none" w:sz="0" w:space="0" w:color="auto"/>
                                            <w:left w:val="none" w:sz="0" w:space="0" w:color="auto"/>
                                            <w:bottom w:val="none" w:sz="0" w:space="0" w:color="auto"/>
                                            <w:right w:val="none" w:sz="0" w:space="0" w:color="auto"/>
                                          </w:divBdr>
                                          <w:divsChild>
                                            <w:div w:id="693968374">
                                              <w:marLeft w:val="0"/>
                                              <w:marRight w:val="0"/>
                                              <w:marTop w:val="0"/>
                                              <w:marBottom w:val="0"/>
                                              <w:divBdr>
                                                <w:top w:val="none" w:sz="0" w:space="0" w:color="auto"/>
                                                <w:left w:val="none" w:sz="0" w:space="0" w:color="auto"/>
                                                <w:bottom w:val="none" w:sz="0" w:space="0" w:color="auto"/>
                                                <w:right w:val="none" w:sz="0" w:space="0" w:color="auto"/>
                                              </w:divBdr>
                                              <w:divsChild>
                                                <w:div w:id="942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277">
                                      <w:marLeft w:val="0"/>
                                      <w:marRight w:val="0"/>
                                      <w:marTop w:val="0"/>
                                      <w:marBottom w:val="0"/>
                                      <w:divBdr>
                                        <w:top w:val="none" w:sz="0" w:space="0" w:color="auto"/>
                                        <w:left w:val="none" w:sz="0" w:space="0" w:color="auto"/>
                                        <w:bottom w:val="none" w:sz="0" w:space="0" w:color="auto"/>
                                        <w:right w:val="none" w:sz="0" w:space="0" w:color="auto"/>
                                      </w:divBdr>
                                      <w:divsChild>
                                        <w:div w:id="1454592487">
                                          <w:marLeft w:val="0"/>
                                          <w:marRight w:val="0"/>
                                          <w:marTop w:val="0"/>
                                          <w:marBottom w:val="0"/>
                                          <w:divBdr>
                                            <w:top w:val="none" w:sz="0" w:space="0" w:color="auto"/>
                                            <w:left w:val="none" w:sz="0" w:space="0" w:color="auto"/>
                                            <w:bottom w:val="none" w:sz="0" w:space="0" w:color="auto"/>
                                            <w:right w:val="none" w:sz="0" w:space="0" w:color="auto"/>
                                          </w:divBdr>
                                          <w:divsChild>
                                            <w:div w:id="662128233">
                                              <w:marLeft w:val="0"/>
                                              <w:marRight w:val="0"/>
                                              <w:marTop w:val="0"/>
                                              <w:marBottom w:val="0"/>
                                              <w:divBdr>
                                                <w:top w:val="none" w:sz="0" w:space="0" w:color="auto"/>
                                                <w:left w:val="none" w:sz="0" w:space="0" w:color="auto"/>
                                                <w:bottom w:val="none" w:sz="0" w:space="0" w:color="auto"/>
                                                <w:right w:val="none" w:sz="0" w:space="0" w:color="auto"/>
                                              </w:divBdr>
                                              <w:divsChild>
                                                <w:div w:id="21115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1734">
                                      <w:marLeft w:val="0"/>
                                      <w:marRight w:val="0"/>
                                      <w:marTop w:val="0"/>
                                      <w:marBottom w:val="0"/>
                                      <w:divBdr>
                                        <w:top w:val="none" w:sz="0" w:space="0" w:color="auto"/>
                                        <w:left w:val="none" w:sz="0" w:space="0" w:color="auto"/>
                                        <w:bottom w:val="none" w:sz="0" w:space="0" w:color="auto"/>
                                        <w:right w:val="none" w:sz="0" w:space="0" w:color="auto"/>
                                      </w:divBdr>
                                      <w:divsChild>
                                        <w:div w:id="1303265183">
                                          <w:marLeft w:val="0"/>
                                          <w:marRight w:val="0"/>
                                          <w:marTop w:val="0"/>
                                          <w:marBottom w:val="0"/>
                                          <w:divBdr>
                                            <w:top w:val="none" w:sz="0" w:space="0" w:color="auto"/>
                                            <w:left w:val="none" w:sz="0" w:space="0" w:color="auto"/>
                                            <w:bottom w:val="none" w:sz="0" w:space="0" w:color="auto"/>
                                            <w:right w:val="none" w:sz="0" w:space="0" w:color="auto"/>
                                          </w:divBdr>
                                          <w:divsChild>
                                            <w:div w:id="1974557154">
                                              <w:marLeft w:val="0"/>
                                              <w:marRight w:val="0"/>
                                              <w:marTop w:val="0"/>
                                              <w:marBottom w:val="0"/>
                                              <w:divBdr>
                                                <w:top w:val="none" w:sz="0" w:space="0" w:color="auto"/>
                                                <w:left w:val="none" w:sz="0" w:space="0" w:color="auto"/>
                                                <w:bottom w:val="none" w:sz="0" w:space="0" w:color="auto"/>
                                                <w:right w:val="none" w:sz="0" w:space="0" w:color="auto"/>
                                              </w:divBdr>
                                              <w:divsChild>
                                                <w:div w:id="911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1680</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Karkanis, Fotios {MWXR~Athens}</dc:creator>
  <cp:lastModifiedBy>Karamanli, Ioanna {MWXR~Athens}</cp:lastModifiedBy>
  <cp:revision>11</cp:revision>
  <cp:lastPrinted>2016-10-04T05:47:00Z</cp:lastPrinted>
  <dcterms:created xsi:type="dcterms:W3CDTF">2016-09-29T07:39:00Z</dcterms:created>
  <dcterms:modified xsi:type="dcterms:W3CDTF">2016-10-05T09:07:00Z</dcterms:modified>
</cp:coreProperties>
</file>