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B" w:rsidRPr="002D38FB" w:rsidRDefault="00046963" w:rsidP="002D38FB">
      <w:pPr>
        <w:jc w:val="center"/>
        <w:rPr>
          <w:b/>
          <w:sz w:val="28"/>
          <w:szCs w:val="24"/>
        </w:rPr>
      </w:pPr>
      <w:r w:rsidRPr="002D38FB">
        <w:rPr>
          <w:b/>
          <w:sz w:val="28"/>
          <w:szCs w:val="24"/>
        </w:rPr>
        <w:t>Βασικά σημεία ομιλίας</w:t>
      </w:r>
    </w:p>
    <w:p w:rsidR="002D38FB" w:rsidRPr="002D38FB" w:rsidRDefault="00046963" w:rsidP="002D38FB">
      <w:pPr>
        <w:spacing w:after="0" w:line="240" w:lineRule="auto"/>
        <w:jc w:val="center"/>
        <w:rPr>
          <w:sz w:val="24"/>
          <w:szCs w:val="24"/>
        </w:rPr>
      </w:pPr>
      <w:proofErr w:type="spellStart"/>
      <w:r w:rsidRPr="002D38FB">
        <w:rPr>
          <w:b/>
          <w:sz w:val="24"/>
          <w:szCs w:val="24"/>
          <w:lang w:val="en-US"/>
        </w:rPr>
        <w:t>Haseeb</w:t>
      </w:r>
      <w:proofErr w:type="spellEnd"/>
      <w:r w:rsidRPr="002D38FB">
        <w:rPr>
          <w:b/>
          <w:sz w:val="24"/>
          <w:szCs w:val="24"/>
        </w:rPr>
        <w:t xml:space="preserve"> </w:t>
      </w:r>
      <w:r w:rsidRPr="002D38FB">
        <w:rPr>
          <w:b/>
          <w:sz w:val="24"/>
          <w:szCs w:val="24"/>
          <w:lang w:val="en-US"/>
        </w:rPr>
        <w:t>Ahmad</w:t>
      </w:r>
      <w:r w:rsidRPr="002D38FB">
        <w:rPr>
          <w:b/>
          <w:sz w:val="24"/>
          <w:szCs w:val="24"/>
        </w:rPr>
        <w:t xml:space="preserve">, </w:t>
      </w:r>
      <w:r w:rsidRPr="002D38FB">
        <w:rPr>
          <w:sz w:val="24"/>
          <w:szCs w:val="24"/>
        </w:rPr>
        <w:t>διευθύ</w:t>
      </w:r>
      <w:r w:rsidR="002D38FB" w:rsidRPr="002D38FB">
        <w:rPr>
          <w:sz w:val="24"/>
          <w:szCs w:val="24"/>
        </w:rPr>
        <w:t xml:space="preserve">νων </w:t>
      </w:r>
      <w:r w:rsidRPr="002D38FB">
        <w:rPr>
          <w:sz w:val="24"/>
          <w:szCs w:val="24"/>
        </w:rPr>
        <w:t>σ</w:t>
      </w:r>
      <w:r w:rsidR="002D38FB" w:rsidRPr="002D38FB">
        <w:rPr>
          <w:sz w:val="24"/>
          <w:szCs w:val="24"/>
        </w:rPr>
        <w:t>ύμβουλος</w:t>
      </w:r>
      <w:r w:rsidRPr="002D38FB">
        <w:rPr>
          <w:sz w:val="24"/>
          <w:szCs w:val="24"/>
        </w:rPr>
        <w:t xml:space="preserve"> </w:t>
      </w:r>
      <w:r w:rsidRPr="002D38FB">
        <w:rPr>
          <w:sz w:val="24"/>
          <w:szCs w:val="24"/>
          <w:lang w:val="en-US"/>
        </w:rPr>
        <w:t>MSD</w:t>
      </w:r>
      <w:r w:rsidRPr="002D38FB">
        <w:rPr>
          <w:sz w:val="24"/>
          <w:szCs w:val="24"/>
        </w:rPr>
        <w:t xml:space="preserve"> Ελλάδας, Κύπρου και Μάλτας </w:t>
      </w:r>
      <w:r w:rsidR="002D38FB" w:rsidRPr="002D38FB">
        <w:rPr>
          <w:sz w:val="24"/>
          <w:szCs w:val="24"/>
        </w:rPr>
        <w:t>-</w:t>
      </w:r>
    </w:p>
    <w:p w:rsidR="00046963" w:rsidRPr="002D38FB" w:rsidRDefault="002D38FB" w:rsidP="002D38FB">
      <w:pPr>
        <w:spacing w:after="0" w:line="240" w:lineRule="auto"/>
        <w:jc w:val="center"/>
        <w:rPr>
          <w:sz w:val="24"/>
          <w:szCs w:val="24"/>
        </w:rPr>
      </w:pPr>
      <w:r w:rsidRPr="002D38FB">
        <w:rPr>
          <w:sz w:val="24"/>
          <w:szCs w:val="24"/>
        </w:rPr>
        <w:t xml:space="preserve">πρόεδρος </w:t>
      </w:r>
      <w:r w:rsidR="00046963" w:rsidRPr="002D38FB">
        <w:rPr>
          <w:sz w:val="24"/>
          <w:szCs w:val="24"/>
        </w:rPr>
        <w:t xml:space="preserve">Φαρμακευτικής Επιτροπής του </w:t>
      </w:r>
      <w:proofErr w:type="spellStart"/>
      <w:r w:rsidR="00046963" w:rsidRPr="002D38FB">
        <w:rPr>
          <w:sz w:val="24"/>
          <w:szCs w:val="24"/>
        </w:rPr>
        <w:t>Ελληνο</w:t>
      </w:r>
      <w:proofErr w:type="spellEnd"/>
      <w:r w:rsidR="00046963" w:rsidRPr="002D38FB">
        <w:rPr>
          <w:sz w:val="24"/>
          <w:szCs w:val="24"/>
        </w:rPr>
        <w:t xml:space="preserve">-Αμερικανικού </w:t>
      </w:r>
      <w:r w:rsidR="00031FFC" w:rsidRPr="002D38FB">
        <w:rPr>
          <w:sz w:val="24"/>
          <w:szCs w:val="24"/>
        </w:rPr>
        <w:t>Επιμελητηρίου</w:t>
      </w:r>
    </w:p>
    <w:p w:rsidR="002D38FB" w:rsidRPr="002D38FB" w:rsidRDefault="002D38FB" w:rsidP="002D38FB">
      <w:pPr>
        <w:spacing w:after="0" w:line="240" w:lineRule="auto"/>
        <w:jc w:val="center"/>
        <w:rPr>
          <w:i/>
          <w:sz w:val="24"/>
          <w:szCs w:val="24"/>
        </w:rPr>
      </w:pPr>
      <w:r w:rsidRPr="002D38FB">
        <w:rPr>
          <w:b/>
          <w:i/>
          <w:sz w:val="24"/>
          <w:szCs w:val="24"/>
        </w:rPr>
        <w:t>15ο Ετήσιο Συνέδριο</w:t>
      </w:r>
      <w:r w:rsidRPr="002D38FB">
        <w:rPr>
          <w:i/>
          <w:sz w:val="24"/>
          <w:szCs w:val="24"/>
        </w:rPr>
        <w:t xml:space="preserve"> </w:t>
      </w:r>
      <w:proofErr w:type="spellStart"/>
      <w:r w:rsidRPr="002D38FB">
        <w:rPr>
          <w:b/>
          <w:i/>
          <w:sz w:val="24"/>
          <w:szCs w:val="24"/>
          <w:lang w:val="en-US"/>
        </w:rPr>
        <w:t>HealthWorld</w:t>
      </w:r>
      <w:proofErr w:type="spellEnd"/>
      <w:r w:rsidRPr="002D38FB">
        <w:rPr>
          <w:b/>
          <w:i/>
          <w:sz w:val="24"/>
          <w:szCs w:val="24"/>
        </w:rPr>
        <w:t xml:space="preserve"> 2016</w:t>
      </w:r>
      <w:r w:rsidRPr="002D38FB">
        <w:rPr>
          <w:i/>
          <w:sz w:val="24"/>
          <w:szCs w:val="24"/>
        </w:rPr>
        <w:t xml:space="preserve">, από το </w:t>
      </w:r>
      <w:proofErr w:type="spellStart"/>
      <w:r w:rsidRPr="002D38FB">
        <w:rPr>
          <w:i/>
          <w:sz w:val="24"/>
          <w:szCs w:val="24"/>
        </w:rPr>
        <w:t>Ελληνο</w:t>
      </w:r>
      <w:proofErr w:type="spellEnd"/>
      <w:r w:rsidRPr="002D38FB">
        <w:rPr>
          <w:i/>
          <w:sz w:val="24"/>
          <w:szCs w:val="24"/>
        </w:rPr>
        <w:t xml:space="preserve">-Αμερικανικό Επιμελητήριο, </w:t>
      </w:r>
    </w:p>
    <w:p w:rsidR="002D38FB" w:rsidRPr="002D38FB" w:rsidRDefault="002D38FB" w:rsidP="002D38FB">
      <w:pPr>
        <w:spacing w:after="0" w:line="240" w:lineRule="auto"/>
        <w:jc w:val="center"/>
        <w:rPr>
          <w:i/>
          <w:sz w:val="24"/>
          <w:szCs w:val="24"/>
        </w:rPr>
      </w:pPr>
      <w:r w:rsidRPr="00CD5075">
        <w:rPr>
          <w:i/>
          <w:sz w:val="24"/>
          <w:szCs w:val="24"/>
        </w:rPr>
        <w:t>20 και 21 Σεπτεμβρίου</w:t>
      </w:r>
    </w:p>
    <w:p w:rsidR="002D38FB" w:rsidRDefault="002D38FB" w:rsidP="002D38FB">
      <w:pPr>
        <w:rPr>
          <w:sz w:val="28"/>
        </w:rPr>
      </w:pPr>
    </w:p>
    <w:p w:rsidR="00F46A2F" w:rsidRDefault="00F46A2F" w:rsidP="00AD240C">
      <w:pPr>
        <w:jc w:val="center"/>
        <w:rPr>
          <w:sz w:val="28"/>
        </w:rPr>
      </w:pPr>
      <w:r w:rsidRPr="00046963">
        <w:rPr>
          <w:sz w:val="28"/>
        </w:rPr>
        <w:t xml:space="preserve">Μια ολιστική και ρεαλιστική πρόταση για την βιώσιμη </w:t>
      </w:r>
      <w:r w:rsidR="00046963">
        <w:rPr>
          <w:sz w:val="28"/>
        </w:rPr>
        <w:t>α</w:t>
      </w:r>
      <w:r w:rsidRPr="00046963">
        <w:rPr>
          <w:sz w:val="28"/>
        </w:rPr>
        <w:t xml:space="preserve">νασυγκρότηση της </w:t>
      </w:r>
      <w:r w:rsidR="00046963" w:rsidRPr="00046963">
        <w:rPr>
          <w:sz w:val="28"/>
        </w:rPr>
        <w:t>ε</w:t>
      </w:r>
      <w:r w:rsidRPr="00046963">
        <w:rPr>
          <w:sz w:val="28"/>
        </w:rPr>
        <w:t xml:space="preserve">λληνικής </w:t>
      </w:r>
      <w:r w:rsidR="00046963" w:rsidRPr="00046963">
        <w:rPr>
          <w:sz w:val="28"/>
        </w:rPr>
        <w:t>φ</w:t>
      </w:r>
      <w:r w:rsidRPr="00046963">
        <w:rPr>
          <w:sz w:val="28"/>
        </w:rPr>
        <w:t>αρμακευτικής πολιτικής</w:t>
      </w:r>
    </w:p>
    <w:p w:rsidR="002D38FB" w:rsidRPr="00046963" w:rsidRDefault="002D38FB" w:rsidP="00AD240C">
      <w:pPr>
        <w:jc w:val="center"/>
        <w:rPr>
          <w:sz w:val="28"/>
        </w:rPr>
      </w:pPr>
    </w:p>
    <w:p w:rsidR="00031FFC" w:rsidRPr="00031FFC" w:rsidRDefault="00031FFC">
      <w:r>
        <w:t xml:space="preserve">Σημερινή κατάσταση συστήματος Υγείας – </w:t>
      </w:r>
      <w:r w:rsidRPr="00031FFC">
        <w:rPr>
          <w:i/>
          <w:u w:val="single"/>
        </w:rPr>
        <w:t>ασθενής:</w:t>
      </w:r>
      <w:r w:rsidRPr="00031FFC">
        <w:t xml:space="preserve"> </w:t>
      </w:r>
    </w:p>
    <w:p w:rsidR="00031FFC" w:rsidRDefault="00031FFC" w:rsidP="00031FFC">
      <w:pPr>
        <w:pStyle w:val="a3"/>
        <w:numPr>
          <w:ilvl w:val="0"/>
          <w:numId w:val="3"/>
        </w:numPr>
      </w:pPr>
      <w:r>
        <w:t>κ</w:t>
      </w:r>
      <w:r w:rsidR="00BF7350">
        <w:t>ενά σε υποδομές και εξυπηρέτηση</w:t>
      </w:r>
      <w:r>
        <w:t xml:space="preserve"> </w:t>
      </w:r>
    </w:p>
    <w:p w:rsidR="00031FFC" w:rsidRDefault="00031FFC" w:rsidP="00031FFC">
      <w:pPr>
        <w:pStyle w:val="a3"/>
        <w:numPr>
          <w:ilvl w:val="0"/>
          <w:numId w:val="3"/>
        </w:numPr>
      </w:pPr>
      <w:r>
        <w:t>αυξημ</w:t>
      </w:r>
      <w:r w:rsidR="00BF7350">
        <w:t>ένη συμμετοχή τους στα φάρμακα</w:t>
      </w:r>
    </w:p>
    <w:p w:rsidR="00031FFC" w:rsidRDefault="00031FFC" w:rsidP="00031FFC">
      <w:pPr>
        <w:pStyle w:val="a3"/>
        <w:numPr>
          <w:ilvl w:val="0"/>
          <w:numId w:val="3"/>
        </w:numPr>
      </w:pPr>
      <w:r>
        <w:t>απουσία εστίασης στην πρόληψη και στην παραγωγή αποτελέσματος από την φαρμακευτική αγωγή</w:t>
      </w:r>
      <w:r w:rsidRPr="00CE4625">
        <w:t xml:space="preserve"> </w:t>
      </w:r>
      <w:r>
        <w:t xml:space="preserve">και </w:t>
      </w:r>
    </w:p>
    <w:p w:rsidR="00031FFC" w:rsidRDefault="00031FFC" w:rsidP="00031FFC">
      <w:pPr>
        <w:pStyle w:val="a3"/>
        <w:numPr>
          <w:ilvl w:val="0"/>
          <w:numId w:val="3"/>
        </w:numPr>
      </w:pPr>
      <w:r>
        <w:t>μειωμένη πρόσβαση σε φάρμακα καθώς και σε εργαλεία και υπηρεσίες διαχείρισης των νόσων</w:t>
      </w:r>
    </w:p>
    <w:p w:rsidR="00B2536E" w:rsidRDefault="00031FFC">
      <w:r>
        <w:t xml:space="preserve">Σημερινή κατάσταση συστήματος Υγείας – </w:t>
      </w:r>
      <w:r w:rsidRPr="00031FFC">
        <w:rPr>
          <w:i/>
          <w:u w:val="single"/>
        </w:rPr>
        <w:t>φαρμακευτικές εταιρείες</w:t>
      </w:r>
      <w:r w:rsidR="00B2536E">
        <w:t>:</w:t>
      </w:r>
    </w:p>
    <w:p w:rsidR="00031FFC" w:rsidRPr="00CD5075" w:rsidRDefault="00031FFC" w:rsidP="00031FFC">
      <w:pPr>
        <w:pStyle w:val="a3"/>
        <w:numPr>
          <w:ilvl w:val="0"/>
          <w:numId w:val="3"/>
        </w:numPr>
        <w:rPr>
          <w:lang w:val="en-US"/>
        </w:rPr>
      </w:pPr>
      <w:r>
        <w:t>Α</w:t>
      </w:r>
      <w:r w:rsidR="003827B6">
        <w:t>υξημένα</w:t>
      </w:r>
      <w:r w:rsidR="003827B6" w:rsidRPr="00CD5075">
        <w:rPr>
          <w:lang w:val="en-US"/>
        </w:rPr>
        <w:t xml:space="preserve"> rebate</w:t>
      </w:r>
      <w:r w:rsidR="00F62B19" w:rsidRPr="00CD5075">
        <w:rPr>
          <w:lang w:val="en-US"/>
        </w:rPr>
        <w:t>s</w:t>
      </w:r>
      <w:r w:rsidR="003827B6" w:rsidRPr="00CD5075">
        <w:rPr>
          <w:lang w:val="en-US"/>
        </w:rPr>
        <w:t xml:space="preserve"> </w:t>
      </w:r>
      <w:r w:rsidR="003827B6">
        <w:t>και</w:t>
      </w:r>
      <w:r w:rsidR="00BF7350">
        <w:rPr>
          <w:lang w:val="en-US"/>
        </w:rPr>
        <w:t xml:space="preserve"> claw-back</w:t>
      </w:r>
      <w:r w:rsidR="003827B6" w:rsidRPr="00CD5075">
        <w:rPr>
          <w:lang w:val="en-US"/>
        </w:rPr>
        <w:t xml:space="preserve"> </w:t>
      </w:r>
    </w:p>
    <w:p w:rsidR="00031FFC" w:rsidRDefault="00031FFC" w:rsidP="00031FFC">
      <w:pPr>
        <w:pStyle w:val="a3"/>
        <w:numPr>
          <w:ilvl w:val="0"/>
          <w:numId w:val="3"/>
        </w:numPr>
      </w:pPr>
      <w:r>
        <w:t>έμφαση</w:t>
      </w:r>
      <w:r w:rsidR="00B2536E">
        <w:t xml:space="preserve"> </w:t>
      </w:r>
      <w:r w:rsidR="003827B6">
        <w:t xml:space="preserve">στο κόστος και όχι στο αποτέλεσμα της θεραπείας </w:t>
      </w:r>
    </w:p>
    <w:p w:rsidR="00031FFC" w:rsidRDefault="003827B6" w:rsidP="00031FFC">
      <w:pPr>
        <w:pStyle w:val="a3"/>
        <w:numPr>
          <w:ilvl w:val="0"/>
          <w:numId w:val="3"/>
        </w:numPr>
      </w:pPr>
      <w:r>
        <w:t xml:space="preserve"> λογιστικές προσεγγίσεις </w:t>
      </w:r>
      <w:r w:rsidR="00B2536E">
        <w:t>«</w:t>
      </w:r>
      <w:r>
        <w:t>οριζόντιων</w:t>
      </w:r>
      <w:r w:rsidR="00B2536E">
        <w:t>»</w:t>
      </w:r>
      <w:r>
        <w:t xml:space="preserve"> μέτρων </w:t>
      </w:r>
    </w:p>
    <w:p w:rsidR="00031FFC" w:rsidRDefault="00B2536E" w:rsidP="00031FFC">
      <w:pPr>
        <w:pStyle w:val="a3"/>
        <w:numPr>
          <w:ilvl w:val="0"/>
          <w:numId w:val="3"/>
        </w:numPr>
      </w:pPr>
      <w:r>
        <w:t>εστίαση</w:t>
      </w:r>
      <w:r w:rsidR="003827B6">
        <w:t xml:space="preserve"> αποκλειστικά </w:t>
      </w:r>
      <w:r w:rsidR="00BF7350">
        <w:t>και μόνο στην τιμή των φαρμάκων</w:t>
      </w:r>
      <w:r w:rsidR="003827B6">
        <w:t xml:space="preserve"> </w:t>
      </w:r>
    </w:p>
    <w:p w:rsidR="005A0171" w:rsidRPr="000142C8" w:rsidRDefault="00031FFC">
      <w:pPr>
        <w:rPr>
          <w:u w:val="single"/>
        </w:rPr>
      </w:pPr>
      <w:r w:rsidRPr="000142C8">
        <w:rPr>
          <w:u w:val="single"/>
        </w:rPr>
        <w:t>Μ</w:t>
      </w:r>
      <w:r w:rsidR="003827B6" w:rsidRPr="000142C8">
        <w:rPr>
          <w:u w:val="single"/>
        </w:rPr>
        <w:t>έγι</w:t>
      </w:r>
      <w:r w:rsidRPr="000142C8">
        <w:rPr>
          <w:u w:val="single"/>
        </w:rPr>
        <w:t xml:space="preserve">στο πρόβλημα για όλους: η </w:t>
      </w:r>
      <w:r w:rsidR="003827B6" w:rsidRPr="000142C8">
        <w:rPr>
          <w:u w:val="single"/>
        </w:rPr>
        <w:t>παντελής</w:t>
      </w:r>
      <w:r w:rsidR="005A0171" w:rsidRPr="000142C8">
        <w:rPr>
          <w:u w:val="single"/>
        </w:rPr>
        <w:t xml:space="preserve"> απουσία ενός οργανωμένου και δομημένου διαλόγου για όλα </w:t>
      </w:r>
      <w:r w:rsidRPr="000142C8">
        <w:rPr>
          <w:u w:val="single"/>
        </w:rPr>
        <w:t>τα παραπάνω</w:t>
      </w:r>
      <w:r w:rsidR="003827B6" w:rsidRPr="000142C8">
        <w:rPr>
          <w:u w:val="single"/>
        </w:rPr>
        <w:t xml:space="preserve">. </w:t>
      </w:r>
    </w:p>
    <w:p w:rsidR="003827B6" w:rsidRPr="000142C8" w:rsidRDefault="00B2536E">
      <w:pPr>
        <w:rPr>
          <w:b/>
        </w:rPr>
      </w:pPr>
      <w:r w:rsidRPr="000142C8">
        <w:rPr>
          <w:b/>
        </w:rPr>
        <w:t xml:space="preserve">Στοιχεία που καταδεικνύουν τη </w:t>
      </w:r>
      <w:r w:rsidR="003827B6" w:rsidRPr="000142C8">
        <w:rPr>
          <w:b/>
        </w:rPr>
        <w:t>συνεισφορά της φαρμακευτικής καινοτομίας τόσο στην μείωση των κρατικών δαπανών όσο</w:t>
      </w:r>
      <w:r w:rsidR="00807421" w:rsidRPr="000142C8">
        <w:rPr>
          <w:b/>
        </w:rPr>
        <w:t xml:space="preserve"> και στην προσέλκυση επενδύσεων</w:t>
      </w:r>
      <w:r w:rsidR="003827B6" w:rsidRPr="000142C8">
        <w:rPr>
          <w:b/>
        </w:rPr>
        <w:t>:</w:t>
      </w:r>
    </w:p>
    <w:p w:rsidR="003827B6" w:rsidRDefault="003827B6" w:rsidP="00E0777F">
      <w:pPr>
        <w:pStyle w:val="a3"/>
        <w:numPr>
          <w:ilvl w:val="0"/>
          <w:numId w:val="1"/>
        </w:numPr>
      </w:pPr>
      <w:r>
        <w:t>1,6 – 2,1 εκατομμύρια περι</w:t>
      </w:r>
      <w:r w:rsidR="002D38FB">
        <w:t>στατικά</w:t>
      </w:r>
      <w:r>
        <w:t xml:space="preserve"> γρίπης αποφεύχθηκαν στην Ευρώπη μέσω των εποχιακών εμβολιασμών</w:t>
      </w:r>
    </w:p>
    <w:p w:rsidR="003827B6" w:rsidRDefault="003827B6" w:rsidP="00E0777F">
      <w:pPr>
        <w:pStyle w:val="a3"/>
        <w:numPr>
          <w:ilvl w:val="0"/>
          <w:numId w:val="1"/>
        </w:numPr>
      </w:pPr>
      <w:r>
        <w:t xml:space="preserve">250 – 330 εκ. εξοικονομούνται σε ετήσια βάση από επισκέψεις σε γιατρούς, νοσηλείες και χαμένες </w:t>
      </w:r>
      <w:r w:rsidR="00DC50DD">
        <w:t>εργατοώρες</w:t>
      </w:r>
      <w:r w:rsidR="00B2536E">
        <w:t xml:space="preserve"> ως αποτέλεσμα των εποχιακών </w:t>
      </w:r>
      <w:r>
        <w:t>εμβολιασμών στην Ευρώπη</w:t>
      </w:r>
    </w:p>
    <w:p w:rsidR="00A16B63" w:rsidRDefault="00A16B63" w:rsidP="00E0777F">
      <w:pPr>
        <w:pStyle w:val="a3"/>
        <w:numPr>
          <w:ilvl w:val="0"/>
          <w:numId w:val="1"/>
        </w:numPr>
      </w:pPr>
      <w:r>
        <w:t>Το 2004 το κόστος  νοσηλείας ανά ασθενή εξαιτίας παθήσεων του καρδιαγγειακού συστήματος θα ήταν 70% υψηλότερο (89 $/ασθενή) αν δεν είχαν εισαχθεί νέα καρδιολογικ</w:t>
      </w:r>
      <w:r w:rsidR="00BF7350">
        <w:t>ά φάρμακα την περίοδο 1995-2004</w:t>
      </w:r>
    </w:p>
    <w:p w:rsidR="00E0777F" w:rsidRDefault="00E0777F" w:rsidP="00E0777F">
      <w:pPr>
        <w:pStyle w:val="a3"/>
        <w:numPr>
          <w:ilvl w:val="0"/>
          <w:numId w:val="1"/>
        </w:numPr>
      </w:pPr>
      <w:r>
        <w:t>Το συνολικό ποσοστό των ανθρώπων που διαγιγνώσκονται με καρκίνο και επιστρέφει στη δουλειά του έχει φτάσει πλέον το 75%</w:t>
      </w:r>
    </w:p>
    <w:p w:rsidR="00E0777F" w:rsidRDefault="00E0777F" w:rsidP="00E0777F">
      <w:pPr>
        <w:pStyle w:val="a3"/>
        <w:numPr>
          <w:ilvl w:val="0"/>
          <w:numId w:val="1"/>
        </w:numPr>
      </w:pPr>
      <w:r>
        <w:t>Το 2015, η φαρμακοβιομηχανία χρηματοδότησε 9.059 κλινικές μελέτες παγκοσμίως, με τη χώρα μας δυστυχώς να παίρνει λιγότερες από 100, ενώ διαθέτει όλες τις κατάλληλες υποδομές για τις πολλαπλασιάσει</w:t>
      </w:r>
    </w:p>
    <w:p w:rsidR="00D30743" w:rsidRDefault="00D30743">
      <w:r w:rsidRPr="00D30743">
        <w:rPr>
          <w:b/>
        </w:rPr>
        <w:t>Η φαρμακευτική καινοτομία</w:t>
      </w:r>
      <w:r>
        <w:t xml:space="preserve">. </w:t>
      </w:r>
    </w:p>
    <w:p w:rsidR="00CD5075" w:rsidRDefault="00D30743" w:rsidP="00CD5075">
      <w:r w:rsidRPr="00CD5075">
        <w:t xml:space="preserve"> </w:t>
      </w:r>
      <w:r w:rsidR="00CD5075">
        <w:t xml:space="preserve">Με βάση τα πιο πρόσφατα στοιχεία (Μαρ. 2015) </w:t>
      </w:r>
      <w:r w:rsidR="00AD3E7F" w:rsidRPr="00CD5075">
        <w:t>είναι σε εξέλιξη</w:t>
      </w:r>
      <w:r w:rsidRPr="00CD5075">
        <w:t xml:space="preserve"> μελέτες για</w:t>
      </w:r>
      <w:r w:rsidR="00807421" w:rsidRPr="00CD5075">
        <w:t xml:space="preserve"> νέες θεραπείες:</w:t>
      </w:r>
      <w:r w:rsidRPr="00CD5075">
        <w:t xml:space="preserve"> </w:t>
      </w:r>
      <w:r w:rsidR="00AD3E7F" w:rsidRPr="00CD5075">
        <w:t xml:space="preserve"> </w:t>
      </w:r>
    </w:p>
    <w:p w:rsidR="00D30743" w:rsidRPr="00CD5075" w:rsidRDefault="00D30743" w:rsidP="00CD5075">
      <w:pPr>
        <w:pStyle w:val="a3"/>
        <w:numPr>
          <w:ilvl w:val="0"/>
          <w:numId w:val="4"/>
        </w:numPr>
      </w:pPr>
      <w:r w:rsidRPr="00CD5075">
        <w:t xml:space="preserve">1.813 για τον καρκίνο, </w:t>
      </w:r>
    </w:p>
    <w:p w:rsidR="00D30743" w:rsidRPr="00CD5075" w:rsidRDefault="00D30743" w:rsidP="00D30743">
      <w:pPr>
        <w:pStyle w:val="a3"/>
        <w:numPr>
          <w:ilvl w:val="0"/>
          <w:numId w:val="4"/>
        </w:numPr>
      </w:pPr>
      <w:r w:rsidRPr="00CD5075">
        <w:lastRenderedPageBreak/>
        <w:t xml:space="preserve">599 για τις καρδιαγγειακές δυσλειτουργίες, </w:t>
      </w:r>
    </w:p>
    <w:p w:rsidR="00D30743" w:rsidRPr="00CD5075" w:rsidRDefault="00D30743" w:rsidP="00D30743">
      <w:pPr>
        <w:pStyle w:val="a3"/>
        <w:numPr>
          <w:ilvl w:val="0"/>
          <w:numId w:val="4"/>
        </w:numPr>
      </w:pPr>
      <w:r w:rsidRPr="00CD5075">
        <w:t xml:space="preserve">475 για τον διαβήτη, </w:t>
      </w:r>
    </w:p>
    <w:p w:rsidR="00D30743" w:rsidRPr="00CD5075" w:rsidRDefault="00D30743" w:rsidP="00D30743">
      <w:pPr>
        <w:pStyle w:val="a3"/>
        <w:numPr>
          <w:ilvl w:val="0"/>
          <w:numId w:val="4"/>
        </w:numPr>
      </w:pPr>
      <w:r w:rsidRPr="00CD5075">
        <w:t xml:space="preserve">159 για το </w:t>
      </w:r>
      <w:r w:rsidRPr="00CD5075">
        <w:rPr>
          <w:lang w:val="en-US"/>
        </w:rPr>
        <w:t>AIDS</w:t>
      </w:r>
      <w:r w:rsidRPr="00CD5075">
        <w:t xml:space="preserve">, </w:t>
      </w:r>
    </w:p>
    <w:p w:rsidR="00D30743" w:rsidRPr="00CD5075" w:rsidRDefault="00D30743" w:rsidP="00D30743">
      <w:pPr>
        <w:pStyle w:val="a3"/>
        <w:numPr>
          <w:ilvl w:val="0"/>
          <w:numId w:val="4"/>
        </w:numPr>
      </w:pPr>
      <w:r w:rsidRPr="00CD5075">
        <w:t xml:space="preserve">1.120 για δυσλειτουργίες του ανοσολογικού, </w:t>
      </w:r>
      <w:bookmarkStart w:id="0" w:name="_GoBack"/>
      <w:bookmarkEnd w:id="0"/>
    </w:p>
    <w:p w:rsidR="00D30743" w:rsidRPr="00CD5075" w:rsidRDefault="00D30743" w:rsidP="00D30743">
      <w:pPr>
        <w:pStyle w:val="a3"/>
        <w:numPr>
          <w:ilvl w:val="0"/>
          <w:numId w:val="4"/>
        </w:numPr>
      </w:pPr>
      <w:r w:rsidRPr="00CD5075">
        <w:t xml:space="preserve">1.216 για μεταδοτικές ασθένειες, </w:t>
      </w:r>
    </w:p>
    <w:p w:rsidR="00D30743" w:rsidRPr="00CD5075" w:rsidRDefault="00D30743" w:rsidP="00D30743">
      <w:pPr>
        <w:pStyle w:val="a3"/>
        <w:numPr>
          <w:ilvl w:val="0"/>
          <w:numId w:val="4"/>
        </w:numPr>
      </w:pPr>
      <w:r w:rsidRPr="00CD5075">
        <w:t xml:space="preserve">511 για ψυχικές παθήσεις και </w:t>
      </w:r>
    </w:p>
    <w:p w:rsidR="00D30743" w:rsidRPr="00CD5075" w:rsidRDefault="00D30743" w:rsidP="00D30743">
      <w:pPr>
        <w:pStyle w:val="a3"/>
        <w:numPr>
          <w:ilvl w:val="0"/>
          <w:numId w:val="4"/>
        </w:numPr>
      </w:pPr>
      <w:r w:rsidRPr="00CD5075">
        <w:t>1.329 για δυσλειτουργίες του νευρικού συστήματος.</w:t>
      </w:r>
    </w:p>
    <w:p w:rsidR="00AD3E7F" w:rsidRPr="00807421" w:rsidRDefault="00D30743">
      <w:pPr>
        <w:rPr>
          <w:u w:val="single"/>
        </w:rPr>
      </w:pPr>
      <w:r w:rsidRPr="00807421">
        <w:rPr>
          <w:u w:val="single"/>
        </w:rPr>
        <w:t>Το κρίσιμο ερώτημα: Θα μπορέσει το ελληνικό σύστημα Υγείας να ενσωματώσει τις πολυάριθμες καινοτομίες που παράγονται παγκοσμίως και απαντούν σε ανεκπλήρωτες ιατρικές ανάγκες;</w:t>
      </w:r>
    </w:p>
    <w:p w:rsidR="00807421" w:rsidRPr="00807421" w:rsidRDefault="00807421">
      <w:pPr>
        <w:rPr>
          <w:b/>
        </w:rPr>
      </w:pPr>
      <w:r w:rsidRPr="00807421">
        <w:rPr>
          <w:b/>
        </w:rPr>
        <w:t>Σ</w:t>
      </w:r>
      <w:r w:rsidR="00E0777F" w:rsidRPr="00807421">
        <w:rPr>
          <w:b/>
        </w:rPr>
        <w:t>υμμετοχή της φαρμακοβιομηχανίας σ</w:t>
      </w:r>
      <w:r>
        <w:rPr>
          <w:b/>
        </w:rPr>
        <w:t>την δημόσια φαρμακευτική δαπάνη</w:t>
      </w:r>
      <w:r w:rsidR="00E0777F" w:rsidRPr="00807421">
        <w:rPr>
          <w:b/>
        </w:rPr>
        <w:t xml:space="preserve"> </w:t>
      </w:r>
    </w:p>
    <w:p w:rsidR="00807421" w:rsidRDefault="00807421" w:rsidP="00807421">
      <w:pPr>
        <w:pStyle w:val="a3"/>
        <w:numPr>
          <w:ilvl w:val="0"/>
          <w:numId w:val="6"/>
        </w:numPr>
      </w:pPr>
      <w:r>
        <w:t xml:space="preserve">Από 8,6% </w:t>
      </w:r>
      <w:r w:rsidR="00E0777F">
        <w:t>το 2012, άγγιξε το 31% το 2015 και προβλέπεται να φτάσει το 50% το 2016.</w:t>
      </w:r>
      <w:r w:rsidR="00CE4625">
        <w:t xml:space="preserve"> </w:t>
      </w:r>
    </w:p>
    <w:p w:rsidR="00F8187E" w:rsidRPr="00AD240C" w:rsidRDefault="00807421" w:rsidP="00AD240C">
      <w:pPr>
        <w:rPr>
          <w:u w:val="single"/>
        </w:rPr>
      </w:pPr>
      <w:r w:rsidRPr="00AD240C">
        <w:rPr>
          <w:u w:val="single"/>
        </w:rPr>
        <w:t>Η</w:t>
      </w:r>
      <w:r w:rsidR="00CE4625" w:rsidRPr="00AD240C">
        <w:rPr>
          <w:u w:val="single"/>
        </w:rPr>
        <w:t xml:space="preserve"> Ελληνική Πολιτεία σχεδιάζει πλέον την φαρμακευτική πολιτική βασίζοντας όλο το σχεδιασμό της στο </w:t>
      </w:r>
      <w:r w:rsidR="00CE4625" w:rsidRPr="00AD240C">
        <w:rPr>
          <w:u w:val="single"/>
          <w:lang w:val="en-US"/>
        </w:rPr>
        <w:t>claw</w:t>
      </w:r>
      <w:r w:rsidR="00CE4625" w:rsidRPr="00AD240C">
        <w:rPr>
          <w:u w:val="single"/>
        </w:rPr>
        <w:t>-</w:t>
      </w:r>
      <w:r w:rsidR="00CE4625" w:rsidRPr="00AD240C">
        <w:rPr>
          <w:u w:val="single"/>
          <w:lang w:val="en-US"/>
        </w:rPr>
        <w:t>back</w:t>
      </w:r>
      <w:r w:rsidR="00CE4625" w:rsidRPr="00AD240C">
        <w:rPr>
          <w:u w:val="single"/>
        </w:rPr>
        <w:t xml:space="preserve"> των εταιρειών</w:t>
      </w:r>
      <w:r w:rsidR="000B066E" w:rsidRPr="00AD240C">
        <w:rPr>
          <w:u w:val="single"/>
        </w:rPr>
        <w:t xml:space="preserve"> και την συμμετοχή των ασθενών</w:t>
      </w:r>
      <w:r w:rsidR="00CE4625" w:rsidRPr="00AD240C">
        <w:rPr>
          <w:u w:val="single"/>
        </w:rPr>
        <w:t xml:space="preserve">, τη στιγμή που </w:t>
      </w:r>
      <w:r w:rsidR="000B066E" w:rsidRPr="00AD240C">
        <w:rPr>
          <w:u w:val="single"/>
        </w:rPr>
        <w:t xml:space="preserve">ούτε οι μεν ούτε οι δε είναι </w:t>
      </w:r>
      <w:r w:rsidR="00CE4625" w:rsidRPr="00AD240C">
        <w:rPr>
          <w:u w:val="single"/>
        </w:rPr>
        <w:t xml:space="preserve">πλέον </w:t>
      </w:r>
      <w:r w:rsidR="000B066E" w:rsidRPr="00AD240C">
        <w:rPr>
          <w:u w:val="single"/>
        </w:rPr>
        <w:t xml:space="preserve">δυνατόν </w:t>
      </w:r>
      <w:r w:rsidR="00CE4625" w:rsidRPr="00AD240C">
        <w:rPr>
          <w:u w:val="single"/>
        </w:rPr>
        <w:t>να σηκώ</w:t>
      </w:r>
      <w:r w:rsidR="007024F7" w:rsidRPr="00AD240C">
        <w:rPr>
          <w:u w:val="single"/>
        </w:rPr>
        <w:t>σ</w:t>
      </w:r>
      <w:r w:rsidR="00CE4625" w:rsidRPr="00AD240C">
        <w:rPr>
          <w:u w:val="single"/>
        </w:rPr>
        <w:t>ουν αυτό το βάρος.</w:t>
      </w:r>
    </w:p>
    <w:tbl>
      <w:tblPr>
        <w:tblStyle w:val="a4"/>
        <w:tblW w:w="0" w:type="auto"/>
        <w:tblLook w:val="04A0" w:firstRow="1" w:lastRow="0" w:firstColumn="1" w:lastColumn="0" w:noHBand="0" w:noVBand="1"/>
      </w:tblPr>
      <w:tblGrid>
        <w:gridCol w:w="622"/>
        <w:gridCol w:w="1684"/>
        <w:gridCol w:w="1684"/>
        <w:gridCol w:w="912"/>
        <w:gridCol w:w="1843"/>
        <w:gridCol w:w="1684"/>
      </w:tblGrid>
      <w:tr w:rsidR="00F8187E" w:rsidTr="00F8187E">
        <w:tc>
          <w:tcPr>
            <w:tcW w:w="615" w:type="dxa"/>
            <w:vAlign w:val="center"/>
          </w:tcPr>
          <w:p w:rsidR="00F8187E" w:rsidRPr="00F8187E" w:rsidRDefault="00F8187E" w:rsidP="00F8187E">
            <w:pPr>
              <w:jc w:val="center"/>
              <w:rPr>
                <w:b/>
              </w:rPr>
            </w:pPr>
            <w:r w:rsidRPr="00F8187E">
              <w:rPr>
                <w:b/>
              </w:rPr>
              <w:t>Έτος</w:t>
            </w:r>
          </w:p>
        </w:tc>
        <w:tc>
          <w:tcPr>
            <w:tcW w:w="1648" w:type="dxa"/>
            <w:vAlign w:val="center"/>
          </w:tcPr>
          <w:p w:rsidR="00F8187E" w:rsidRPr="00F8187E" w:rsidRDefault="00F8187E" w:rsidP="00F8187E">
            <w:pPr>
              <w:jc w:val="center"/>
              <w:rPr>
                <w:b/>
              </w:rPr>
            </w:pPr>
            <w:r w:rsidRPr="00F8187E">
              <w:rPr>
                <w:b/>
                <w:lang w:val="en-US"/>
              </w:rPr>
              <w:t>Rebate</w:t>
            </w:r>
          </w:p>
          <w:p w:rsidR="00F8187E" w:rsidRPr="00F8187E" w:rsidRDefault="00F8187E" w:rsidP="00F8187E">
            <w:pPr>
              <w:jc w:val="center"/>
              <w:rPr>
                <w:b/>
              </w:rPr>
            </w:pPr>
            <w:r w:rsidRPr="00F8187E">
              <w:rPr>
                <w:b/>
              </w:rPr>
              <w:t>Φαρμακευτικής</w:t>
            </w:r>
          </w:p>
          <w:p w:rsidR="00F8187E" w:rsidRPr="00F8187E" w:rsidRDefault="00F8187E" w:rsidP="00F8187E">
            <w:pPr>
              <w:jc w:val="center"/>
              <w:rPr>
                <w:b/>
              </w:rPr>
            </w:pPr>
            <w:r w:rsidRPr="00F8187E">
              <w:rPr>
                <w:b/>
              </w:rPr>
              <w:t>Βιομηχανίας</w:t>
            </w:r>
          </w:p>
        </w:tc>
        <w:tc>
          <w:tcPr>
            <w:tcW w:w="1640" w:type="dxa"/>
            <w:vAlign w:val="center"/>
          </w:tcPr>
          <w:p w:rsidR="00F8187E" w:rsidRPr="00F8187E" w:rsidRDefault="00F8187E" w:rsidP="00F8187E">
            <w:pPr>
              <w:jc w:val="center"/>
              <w:rPr>
                <w:b/>
                <w:lang w:val="en-US"/>
              </w:rPr>
            </w:pPr>
            <w:r w:rsidRPr="00F8187E">
              <w:rPr>
                <w:b/>
                <w:lang w:val="en-US"/>
              </w:rPr>
              <w:t>Claw-back</w:t>
            </w:r>
          </w:p>
          <w:p w:rsidR="00F8187E" w:rsidRPr="00F8187E" w:rsidRDefault="00F8187E" w:rsidP="00F8187E">
            <w:pPr>
              <w:jc w:val="center"/>
              <w:rPr>
                <w:b/>
              </w:rPr>
            </w:pPr>
            <w:r w:rsidRPr="00F8187E">
              <w:rPr>
                <w:b/>
              </w:rPr>
              <w:t>Φαρμακευτικής</w:t>
            </w:r>
          </w:p>
          <w:p w:rsidR="00F8187E" w:rsidRPr="00F8187E" w:rsidRDefault="00F8187E" w:rsidP="00F8187E">
            <w:pPr>
              <w:jc w:val="center"/>
              <w:rPr>
                <w:b/>
              </w:rPr>
            </w:pPr>
            <w:r w:rsidRPr="00F8187E">
              <w:rPr>
                <w:b/>
              </w:rPr>
              <w:t>Βιομηχανίας</w:t>
            </w:r>
          </w:p>
        </w:tc>
        <w:tc>
          <w:tcPr>
            <w:tcW w:w="912" w:type="dxa"/>
            <w:vAlign w:val="center"/>
          </w:tcPr>
          <w:p w:rsidR="00F8187E" w:rsidRPr="00F8187E" w:rsidRDefault="00F8187E" w:rsidP="00F8187E">
            <w:pPr>
              <w:jc w:val="center"/>
              <w:rPr>
                <w:b/>
              </w:rPr>
            </w:pPr>
            <w:r w:rsidRPr="00F8187E">
              <w:rPr>
                <w:b/>
              </w:rPr>
              <w:t>Σύνολο</w:t>
            </w:r>
          </w:p>
          <w:p w:rsidR="00F8187E" w:rsidRPr="00F8187E" w:rsidRDefault="00F8187E" w:rsidP="00F8187E">
            <w:pPr>
              <w:jc w:val="center"/>
              <w:rPr>
                <w:b/>
              </w:rPr>
            </w:pPr>
            <w:r w:rsidRPr="00F8187E">
              <w:rPr>
                <w:b/>
              </w:rPr>
              <w:t>(α)</w:t>
            </w:r>
          </w:p>
        </w:tc>
        <w:tc>
          <w:tcPr>
            <w:tcW w:w="1843" w:type="dxa"/>
            <w:vAlign w:val="center"/>
          </w:tcPr>
          <w:p w:rsidR="00F8187E" w:rsidRPr="00F8187E" w:rsidRDefault="00F8187E" w:rsidP="00F8187E">
            <w:pPr>
              <w:jc w:val="center"/>
              <w:rPr>
                <w:b/>
              </w:rPr>
            </w:pPr>
            <w:r w:rsidRPr="00F8187E">
              <w:rPr>
                <w:b/>
              </w:rPr>
              <w:t>Στόχος</w:t>
            </w:r>
          </w:p>
          <w:p w:rsidR="00F8187E" w:rsidRPr="00F8187E" w:rsidRDefault="00F8187E" w:rsidP="00F8187E">
            <w:pPr>
              <w:jc w:val="center"/>
              <w:rPr>
                <w:b/>
              </w:rPr>
            </w:pPr>
            <w:r w:rsidRPr="00F8187E">
              <w:rPr>
                <w:b/>
              </w:rPr>
              <w:t>Συνολικής Φαρμακευτικής Δαπάνης</w:t>
            </w:r>
          </w:p>
          <w:p w:rsidR="00F8187E" w:rsidRPr="00F8187E" w:rsidRDefault="00F8187E" w:rsidP="00F8187E">
            <w:pPr>
              <w:jc w:val="center"/>
              <w:rPr>
                <w:b/>
              </w:rPr>
            </w:pPr>
            <w:r w:rsidRPr="00F8187E">
              <w:rPr>
                <w:b/>
              </w:rPr>
              <w:t>(β)</w:t>
            </w:r>
          </w:p>
        </w:tc>
        <w:tc>
          <w:tcPr>
            <w:tcW w:w="1638" w:type="dxa"/>
            <w:vAlign w:val="center"/>
          </w:tcPr>
          <w:p w:rsidR="00F8187E" w:rsidRPr="00F8187E" w:rsidRDefault="00F8187E" w:rsidP="00F8187E">
            <w:pPr>
              <w:jc w:val="center"/>
              <w:rPr>
                <w:b/>
              </w:rPr>
            </w:pPr>
            <w:r w:rsidRPr="00F8187E">
              <w:rPr>
                <w:b/>
              </w:rPr>
              <w:t>Συνεισφορά</w:t>
            </w:r>
          </w:p>
          <w:p w:rsidR="00F8187E" w:rsidRPr="00F8187E" w:rsidRDefault="00F8187E" w:rsidP="00F8187E">
            <w:pPr>
              <w:jc w:val="center"/>
              <w:rPr>
                <w:b/>
              </w:rPr>
            </w:pPr>
            <w:r w:rsidRPr="00F8187E">
              <w:rPr>
                <w:b/>
              </w:rPr>
              <w:t>Φαρμακευτικής Βιομηχανίας</w:t>
            </w:r>
          </w:p>
          <w:p w:rsidR="00F8187E" w:rsidRPr="00F8187E" w:rsidRDefault="00F8187E" w:rsidP="00F8187E">
            <w:pPr>
              <w:jc w:val="center"/>
              <w:rPr>
                <w:b/>
              </w:rPr>
            </w:pPr>
            <w:r w:rsidRPr="00F8187E">
              <w:rPr>
                <w:b/>
              </w:rPr>
              <w:t>Στη</w:t>
            </w:r>
          </w:p>
          <w:p w:rsidR="00F8187E" w:rsidRPr="00F8187E" w:rsidRDefault="00F8187E" w:rsidP="00F8187E">
            <w:pPr>
              <w:jc w:val="center"/>
              <w:rPr>
                <w:b/>
              </w:rPr>
            </w:pPr>
            <w:r w:rsidRPr="00F8187E">
              <w:rPr>
                <w:b/>
              </w:rPr>
              <w:t>Φαρμακευτική</w:t>
            </w:r>
          </w:p>
          <w:p w:rsidR="00F8187E" w:rsidRPr="00F8187E" w:rsidRDefault="00F8187E" w:rsidP="00F8187E">
            <w:pPr>
              <w:jc w:val="center"/>
              <w:rPr>
                <w:b/>
              </w:rPr>
            </w:pPr>
            <w:r w:rsidRPr="00F8187E">
              <w:rPr>
                <w:b/>
              </w:rPr>
              <w:t>Δαπάνη</w:t>
            </w:r>
          </w:p>
          <w:p w:rsidR="00F8187E" w:rsidRPr="00F8187E" w:rsidRDefault="00F8187E" w:rsidP="00F8187E">
            <w:pPr>
              <w:jc w:val="center"/>
              <w:rPr>
                <w:b/>
              </w:rPr>
            </w:pPr>
            <w:r w:rsidRPr="00F8187E">
              <w:rPr>
                <w:b/>
              </w:rPr>
              <w:t>(α/β)</w:t>
            </w:r>
          </w:p>
        </w:tc>
      </w:tr>
      <w:tr w:rsidR="00F8187E" w:rsidTr="00DD4499">
        <w:tc>
          <w:tcPr>
            <w:tcW w:w="615" w:type="dxa"/>
            <w:vAlign w:val="center"/>
          </w:tcPr>
          <w:p w:rsidR="00DD4499" w:rsidRPr="00DD4499" w:rsidRDefault="00DD4499" w:rsidP="00DD4499">
            <w:pPr>
              <w:jc w:val="center"/>
              <w:rPr>
                <w:sz w:val="20"/>
              </w:rPr>
            </w:pPr>
            <w:r>
              <w:rPr>
                <w:sz w:val="20"/>
              </w:rPr>
              <w:t>2012</w:t>
            </w:r>
          </w:p>
        </w:tc>
        <w:tc>
          <w:tcPr>
            <w:tcW w:w="1648" w:type="dxa"/>
            <w:vAlign w:val="center"/>
          </w:tcPr>
          <w:p w:rsidR="00F8187E" w:rsidRPr="00DD4499" w:rsidRDefault="00DD4499" w:rsidP="00DD4499">
            <w:pPr>
              <w:jc w:val="center"/>
              <w:rPr>
                <w:sz w:val="20"/>
              </w:rPr>
            </w:pPr>
            <w:r>
              <w:rPr>
                <w:sz w:val="20"/>
              </w:rPr>
              <w:t>€ 193 εκ.</w:t>
            </w:r>
          </w:p>
        </w:tc>
        <w:tc>
          <w:tcPr>
            <w:tcW w:w="1640" w:type="dxa"/>
            <w:vAlign w:val="center"/>
          </w:tcPr>
          <w:p w:rsidR="00F8187E" w:rsidRPr="00DD4499" w:rsidRDefault="00DD4499" w:rsidP="00DD4499">
            <w:pPr>
              <w:jc w:val="center"/>
              <w:rPr>
                <w:sz w:val="20"/>
              </w:rPr>
            </w:pPr>
            <w:r>
              <w:rPr>
                <w:sz w:val="20"/>
              </w:rPr>
              <w:t>€ 56 εκ.</w:t>
            </w:r>
          </w:p>
        </w:tc>
        <w:tc>
          <w:tcPr>
            <w:tcW w:w="912" w:type="dxa"/>
            <w:vAlign w:val="center"/>
          </w:tcPr>
          <w:p w:rsidR="00F8187E" w:rsidRPr="00DD4499" w:rsidRDefault="00DD4499" w:rsidP="00DD4499">
            <w:pPr>
              <w:jc w:val="center"/>
              <w:rPr>
                <w:sz w:val="20"/>
              </w:rPr>
            </w:pPr>
            <w:r>
              <w:rPr>
                <w:sz w:val="20"/>
              </w:rPr>
              <w:t>€ 249 εκ.</w:t>
            </w:r>
          </w:p>
        </w:tc>
        <w:tc>
          <w:tcPr>
            <w:tcW w:w="1843" w:type="dxa"/>
            <w:vAlign w:val="center"/>
          </w:tcPr>
          <w:p w:rsidR="00F8187E" w:rsidRPr="00DD4499" w:rsidRDefault="00DD4499" w:rsidP="00DD4499">
            <w:pPr>
              <w:jc w:val="center"/>
              <w:rPr>
                <w:sz w:val="20"/>
              </w:rPr>
            </w:pPr>
            <w:r>
              <w:rPr>
                <w:sz w:val="20"/>
              </w:rPr>
              <w:t>€ 2,88 δισ.</w:t>
            </w:r>
          </w:p>
        </w:tc>
        <w:tc>
          <w:tcPr>
            <w:tcW w:w="1638" w:type="dxa"/>
            <w:vAlign w:val="center"/>
          </w:tcPr>
          <w:p w:rsidR="00F8187E" w:rsidRPr="00DD4499" w:rsidRDefault="00DD4499" w:rsidP="00DD4499">
            <w:pPr>
              <w:jc w:val="center"/>
              <w:rPr>
                <w:sz w:val="20"/>
              </w:rPr>
            </w:pPr>
            <w:r>
              <w:rPr>
                <w:sz w:val="20"/>
              </w:rPr>
              <w:t>8,6%</w:t>
            </w:r>
          </w:p>
        </w:tc>
      </w:tr>
      <w:tr w:rsidR="00F8187E" w:rsidTr="00DD4499">
        <w:tc>
          <w:tcPr>
            <w:tcW w:w="615" w:type="dxa"/>
            <w:vAlign w:val="center"/>
          </w:tcPr>
          <w:p w:rsidR="00F8187E" w:rsidRPr="00DD4499" w:rsidRDefault="00DD4499" w:rsidP="00DD4499">
            <w:pPr>
              <w:jc w:val="center"/>
              <w:rPr>
                <w:sz w:val="20"/>
              </w:rPr>
            </w:pPr>
            <w:r>
              <w:rPr>
                <w:sz w:val="20"/>
              </w:rPr>
              <w:t>2013</w:t>
            </w:r>
          </w:p>
        </w:tc>
        <w:tc>
          <w:tcPr>
            <w:tcW w:w="1648" w:type="dxa"/>
            <w:vAlign w:val="center"/>
          </w:tcPr>
          <w:p w:rsidR="00F8187E" w:rsidRPr="00DD4499" w:rsidRDefault="00DD4499" w:rsidP="00DD4499">
            <w:pPr>
              <w:jc w:val="center"/>
              <w:rPr>
                <w:sz w:val="20"/>
              </w:rPr>
            </w:pPr>
            <w:r>
              <w:rPr>
                <w:sz w:val="20"/>
              </w:rPr>
              <w:t>€ 177 εκ</w:t>
            </w:r>
          </w:p>
        </w:tc>
        <w:tc>
          <w:tcPr>
            <w:tcW w:w="1640" w:type="dxa"/>
            <w:vAlign w:val="center"/>
          </w:tcPr>
          <w:p w:rsidR="00F8187E" w:rsidRPr="00DD4499" w:rsidRDefault="00DD4499" w:rsidP="00DD4499">
            <w:pPr>
              <w:jc w:val="center"/>
              <w:rPr>
                <w:sz w:val="20"/>
              </w:rPr>
            </w:pPr>
            <w:r>
              <w:rPr>
                <w:sz w:val="20"/>
              </w:rPr>
              <w:t>€ 152 εκ.</w:t>
            </w:r>
          </w:p>
        </w:tc>
        <w:tc>
          <w:tcPr>
            <w:tcW w:w="912" w:type="dxa"/>
            <w:vAlign w:val="center"/>
          </w:tcPr>
          <w:p w:rsidR="00F8187E" w:rsidRPr="00DD4499" w:rsidRDefault="00DD4499" w:rsidP="00DD4499">
            <w:pPr>
              <w:jc w:val="center"/>
              <w:rPr>
                <w:sz w:val="20"/>
              </w:rPr>
            </w:pPr>
            <w:r>
              <w:rPr>
                <w:sz w:val="20"/>
              </w:rPr>
              <w:t>€ 329 εκ.</w:t>
            </w:r>
          </w:p>
        </w:tc>
        <w:tc>
          <w:tcPr>
            <w:tcW w:w="1843" w:type="dxa"/>
            <w:vAlign w:val="center"/>
          </w:tcPr>
          <w:p w:rsidR="00F8187E" w:rsidRPr="00DD4499" w:rsidRDefault="00DD4499" w:rsidP="00DD4499">
            <w:pPr>
              <w:jc w:val="center"/>
              <w:rPr>
                <w:sz w:val="20"/>
              </w:rPr>
            </w:pPr>
            <w:r>
              <w:rPr>
                <w:sz w:val="20"/>
              </w:rPr>
              <w:t>€ 2,37 δισ.</w:t>
            </w:r>
          </w:p>
        </w:tc>
        <w:tc>
          <w:tcPr>
            <w:tcW w:w="1638" w:type="dxa"/>
            <w:vAlign w:val="center"/>
          </w:tcPr>
          <w:p w:rsidR="00F8187E" w:rsidRPr="00DD4499" w:rsidRDefault="00DD4499" w:rsidP="00DD4499">
            <w:pPr>
              <w:jc w:val="center"/>
              <w:rPr>
                <w:sz w:val="20"/>
              </w:rPr>
            </w:pPr>
            <w:r>
              <w:rPr>
                <w:sz w:val="20"/>
              </w:rPr>
              <w:t>13,8%</w:t>
            </w:r>
          </w:p>
        </w:tc>
      </w:tr>
      <w:tr w:rsidR="00F8187E" w:rsidTr="00DD4499">
        <w:tc>
          <w:tcPr>
            <w:tcW w:w="615" w:type="dxa"/>
            <w:vAlign w:val="center"/>
          </w:tcPr>
          <w:p w:rsidR="00F8187E" w:rsidRPr="00DD4499" w:rsidRDefault="00DD4499" w:rsidP="00DD4499">
            <w:pPr>
              <w:jc w:val="center"/>
              <w:rPr>
                <w:sz w:val="20"/>
              </w:rPr>
            </w:pPr>
            <w:r>
              <w:rPr>
                <w:sz w:val="20"/>
              </w:rPr>
              <w:t>2014</w:t>
            </w:r>
          </w:p>
        </w:tc>
        <w:tc>
          <w:tcPr>
            <w:tcW w:w="1648" w:type="dxa"/>
            <w:vAlign w:val="center"/>
          </w:tcPr>
          <w:p w:rsidR="00F8187E" w:rsidRPr="00DD4499" w:rsidRDefault="00DD4499" w:rsidP="00DD4499">
            <w:pPr>
              <w:jc w:val="center"/>
              <w:rPr>
                <w:sz w:val="20"/>
              </w:rPr>
            </w:pPr>
            <w:r>
              <w:rPr>
                <w:sz w:val="20"/>
              </w:rPr>
              <w:t>€ 226 εκ.</w:t>
            </w:r>
          </w:p>
        </w:tc>
        <w:tc>
          <w:tcPr>
            <w:tcW w:w="1640" w:type="dxa"/>
            <w:vAlign w:val="center"/>
          </w:tcPr>
          <w:p w:rsidR="00F8187E" w:rsidRPr="00DD4499" w:rsidRDefault="00DD4499" w:rsidP="00DD4499">
            <w:pPr>
              <w:jc w:val="center"/>
              <w:rPr>
                <w:sz w:val="20"/>
              </w:rPr>
            </w:pPr>
            <w:r>
              <w:rPr>
                <w:sz w:val="20"/>
              </w:rPr>
              <w:t>€ 202 εκ.</w:t>
            </w:r>
          </w:p>
        </w:tc>
        <w:tc>
          <w:tcPr>
            <w:tcW w:w="912" w:type="dxa"/>
            <w:vAlign w:val="center"/>
          </w:tcPr>
          <w:p w:rsidR="00F8187E" w:rsidRPr="00DD4499" w:rsidRDefault="00DD4499" w:rsidP="00DD4499">
            <w:pPr>
              <w:jc w:val="center"/>
              <w:rPr>
                <w:sz w:val="20"/>
              </w:rPr>
            </w:pPr>
            <w:r>
              <w:rPr>
                <w:sz w:val="20"/>
              </w:rPr>
              <w:t>€ 428 εκ.</w:t>
            </w:r>
          </w:p>
        </w:tc>
        <w:tc>
          <w:tcPr>
            <w:tcW w:w="1843" w:type="dxa"/>
            <w:vAlign w:val="center"/>
          </w:tcPr>
          <w:p w:rsidR="00F8187E" w:rsidRPr="00DD4499" w:rsidRDefault="00DD4499" w:rsidP="00DD4499">
            <w:pPr>
              <w:jc w:val="center"/>
              <w:rPr>
                <w:sz w:val="20"/>
              </w:rPr>
            </w:pPr>
            <w:r>
              <w:rPr>
                <w:sz w:val="20"/>
              </w:rPr>
              <w:t>€ 2,00 δισ.</w:t>
            </w:r>
          </w:p>
        </w:tc>
        <w:tc>
          <w:tcPr>
            <w:tcW w:w="1638" w:type="dxa"/>
            <w:vAlign w:val="center"/>
          </w:tcPr>
          <w:p w:rsidR="00F8187E" w:rsidRPr="00DD4499" w:rsidRDefault="00DD4499" w:rsidP="00DD4499">
            <w:pPr>
              <w:jc w:val="center"/>
              <w:rPr>
                <w:sz w:val="20"/>
              </w:rPr>
            </w:pPr>
            <w:r>
              <w:rPr>
                <w:sz w:val="20"/>
              </w:rPr>
              <w:t>21,4%</w:t>
            </w:r>
          </w:p>
        </w:tc>
      </w:tr>
      <w:tr w:rsidR="00F8187E" w:rsidTr="00DD4499">
        <w:tc>
          <w:tcPr>
            <w:tcW w:w="615" w:type="dxa"/>
            <w:vAlign w:val="center"/>
          </w:tcPr>
          <w:p w:rsidR="00F8187E" w:rsidRPr="00DD4499" w:rsidRDefault="00DD4499" w:rsidP="00DD4499">
            <w:pPr>
              <w:jc w:val="center"/>
              <w:rPr>
                <w:sz w:val="20"/>
              </w:rPr>
            </w:pPr>
            <w:r>
              <w:rPr>
                <w:sz w:val="20"/>
              </w:rPr>
              <w:t>2015</w:t>
            </w:r>
          </w:p>
        </w:tc>
        <w:tc>
          <w:tcPr>
            <w:tcW w:w="1648" w:type="dxa"/>
            <w:vAlign w:val="center"/>
          </w:tcPr>
          <w:p w:rsidR="00F8187E" w:rsidRPr="00DD4499" w:rsidRDefault="00DD4499" w:rsidP="00DD4499">
            <w:pPr>
              <w:jc w:val="center"/>
              <w:rPr>
                <w:sz w:val="20"/>
              </w:rPr>
            </w:pPr>
            <w:r>
              <w:rPr>
                <w:sz w:val="20"/>
              </w:rPr>
              <w:t>€ 293 εκ.</w:t>
            </w:r>
          </w:p>
        </w:tc>
        <w:tc>
          <w:tcPr>
            <w:tcW w:w="1640" w:type="dxa"/>
            <w:vAlign w:val="center"/>
          </w:tcPr>
          <w:p w:rsidR="00F8187E" w:rsidRPr="00DD4499" w:rsidRDefault="00DD4499" w:rsidP="00DD4499">
            <w:pPr>
              <w:jc w:val="center"/>
              <w:rPr>
                <w:sz w:val="20"/>
              </w:rPr>
            </w:pPr>
            <w:r>
              <w:rPr>
                <w:sz w:val="20"/>
              </w:rPr>
              <w:t>€ 325 εκ.</w:t>
            </w:r>
          </w:p>
        </w:tc>
        <w:tc>
          <w:tcPr>
            <w:tcW w:w="912" w:type="dxa"/>
            <w:vAlign w:val="center"/>
          </w:tcPr>
          <w:p w:rsidR="00F8187E" w:rsidRPr="00DD4499" w:rsidRDefault="00DD4499" w:rsidP="00DD4499">
            <w:pPr>
              <w:jc w:val="center"/>
              <w:rPr>
                <w:sz w:val="20"/>
              </w:rPr>
            </w:pPr>
            <w:r>
              <w:rPr>
                <w:sz w:val="20"/>
              </w:rPr>
              <w:t>€ 618 εκ.</w:t>
            </w:r>
          </w:p>
        </w:tc>
        <w:tc>
          <w:tcPr>
            <w:tcW w:w="1843" w:type="dxa"/>
            <w:vAlign w:val="center"/>
          </w:tcPr>
          <w:p w:rsidR="00F8187E" w:rsidRPr="00DD4499" w:rsidRDefault="00DD4499" w:rsidP="00DD4499">
            <w:pPr>
              <w:jc w:val="center"/>
              <w:rPr>
                <w:sz w:val="20"/>
              </w:rPr>
            </w:pPr>
            <w:r>
              <w:rPr>
                <w:sz w:val="20"/>
              </w:rPr>
              <w:t>€ 2,00 δισ.</w:t>
            </w:r>
          </w:p>
        </w:tc>
        <w:tc>
          <w:tcPr>
            <w:tcW w:w="1638" w:type="dxa"/>
            <w:vAlign w:val="center"/>
          </w:tcPr>
          <w:p w:rsidR="00F8187E" w:rsidRPr="00DD4499" w:rsidRDefault="00DD4499" w:rsidP="00DD4499">
            <w:pPr>
              <w:jc w:val="center"/>
              <w:rPr>
                <w:sz w:val="20"/>
              </w:rPr>
            </w:pPr>
            <w:r>
              <w:rPr>
                <w:sz w:val="20"/>
              </w:rPr>
              <w:t>30,9%</w:t>
            </w:r>
          </w:p>
        </w:tc>
      </w:tr>
      <w:tr w:rsidR="00F8187E" w:rsidTr="00DD4499">
        <w:tc>
          <w:tcPr>
            <w:tcW w:w="615" w:type="dxa"/>
            <w:vAlign w:val="center"/>
          </w:tcPr>
          <w:p w:rsidR="00F8187E" w:rsidRPr="00DD4499" w:rsidRDefault="00DD4499" w:rsidP="00DD4499">
            <w:pPr>
              <w:jc w:val="center"/>
              <w:rPr>
                <w:sz w:val="20"/>
              </w:rPr>
            </w:pPr>
            <w:r>
              <w:rPr>
                <w:sz w:val="20"/>
              </w:rPr>
              <w:t>2016</w:t>
            </w:r>
          </w:p>
        </w:tc>
        <w:tc>
          <w:tcPr>
            <w:tcW w:w="1648" w:type="dxa"/>
            <w:vAlign w:val="center"/>
          </w:tcPr>
          <w:p w:rsidR="00F8187E" w:rsidRPr="00DD4499" w:rsidRDefault="00DD4499" w:rsidP="00DD4499">
            <w:pPr>
              <w:jc w:val="center"/>
              <w:rPr>
                <w:sz w:val="20"/>
              </w:rPr>
            </w:pPr>
            <w:r>
              <w:rPr>
                <w:sz w:val="20"/>
              </w:rPr>
              <w:t>€ ~310 εκ.</w:t>
            </w:r>
          </w:p>
        </w:tc>
        <w:tc>
          <w:tcPr>
            <w:tcW w:w="1640" w:type="dxa"/>
            <w:vAlign w:val="center"/>
          </w:tcPr>
          <w:p w:rsidR="00F8187E" w:rsidRPr="00DD4499" w:rsidRDefault="00DD4499" w:rsidP="00DD4499">
            <w:pPr>
              <w:jc w:val="center"/>
              <w:rPr>
                <w:sz w:val="20"/>
              </w:rPr>
            </w:pPr>
            <w:r>
              <w:rPr>
                <w:sz w:val="20"/>
              </w:rPr>
              <w:t>€ ~630 εκ.</w:t>
            </w:r>
          </w:p>
        </w:tc>
        <w:tc>
          <w:tcPr>
            <w:tcW w:w="912" w:type="dxa"/>
            <w:vAlign w:val="center"/>
          </w:tcPr>
          <w:p w:rsidR="00F8187E" w:rsidRPr="00DD4499" w:rsidRDefault="00DD4499" w:rsidP="00DD4499">
            <w:pPr>
              <w:jc w:val="center"/>
              <w:rPr>
                <w:sz w:val="20"/>
              </w:rPr>
            </w:pPr>
            <w:r>
              <w:rPr>
                <w:sz w:val="20"/>
              </w:rPr>
              <w:t>€ ~950 εκ.</w:t>
            </w:r>
          </w:p>
        </w:tc>
        <w:tc>
          <w:tcPr>
            <w:tcW w:w="1843" w:type="dxa"/>
            <w:vAlign w:val="center"/>
          </w:tcPr>
          <w:p w:rsidR="00F8187E" w:rsidRPr="00DD4499" w:rsidRDefault="00DD4499" w:rsidP="00DD4499">
            <w:pPr>
              <w:jc w:val="center"/>
              <w:rPr>
                <w:sz w:val="20"/>
              </w:rPr>
            </w:pPr>
            <w:r>
              <w:rPr>
                <w:sz w:val="20"/>
              </w:rPr>
              <w:t>€ 2,00 δισ.</w:t>
            </w:r>
          </w:p>
        </w:tc>
        <w:tc>
          <w:tcPr>
            <w:tcW w:w="1638" w:type="dxa"/>
            <w:vAlign w:val="center"/>
          </w:tcPr>
          <w:p w:rsidR="00F8187E" w:rsidRPr="00DD4499" w:rsidRDefault="00DD4499" w:rsidP="00DD4499">
            <w:pPr>
              <w:jc w:val="center"/>
              <w:rPr>
                <w:sz w:val="20"/>
              </w:rPr>
            </w:pPr>
            <w:r>
              <w:rPr>
                <w:sz w:val="20"/>
              </w:rPr>
              <w:t>~50%</w:t>
            </w:r>
          </w:p>
        </w:tc>
      </w:tr>
    </w:tbl>
    <w:p w:rsidR="003827B6" w:rsidRDefault="00E0777F">
      <w:r>
        <w:t xml:space="preserve"> </w:t>
      </w:r>
      <w:r w:rsidR="003827B6">
        <w:t xml:space="preserve"> </w:t>
      </w:r>
    </w:p>
    <w:p w:rsidR="00807421" w:rsidRPr="00807421" w:rsidRDefault="00807421">
      <w:pPr>
        <w:rPr>
          <w:b/>
        </w:rPr>
      </w:pPr>
      <w:r w:rsidRPr="00807421">
        <w:rPr>
          <w:b/>
        </w:rPr>
        <w:t>Η πρόταση για ένα βιώσιμο σύστημα Υγείας – για ένα σύστημα που θα αντιμετωπίζει τις προκλήσεις (πχ</w:t>
      </w:r>
      <w:r w:rsidR="007313CD">
        <w:rPr>
          <w:b/>
        </w:rPr>
        <w:t>.</w:t>
      </w:r>
      <w:r w:rsidRPr="00807421">
        <w:rPr>
          <w:b/>
        </w:rPr>
        <w:t xml:space="preserve"> αύξηση του πληθυσμού, κλπ) και θα αξιοποιεί τις ευκαιρίες (πχ. φαρμακευτική καινοτομία)</w:t>
      </w:r>
    </w:p>
    <w:p w:rsidR="00417F3C" w:rsidRDefault="00807421">
      <w:r w:rsidRPr="00807421">
        <w:rPr>
          <w:b/>
        </w:rPr>
        <w:t>Το όραμα</w:t>
      </w:r>
      <w:r>
        <w:t xml:space="preserve">: </w:t>
      </w:r>
      <w:r w:rsidR="00A52998">
        <w:t>ο μετασχηματισμός του Εθνικού Συστήματος Υγείας σε ένα σύστημα που θα εστιάζει στην πρόληψη, θα βασίζεται στα αποτελέσματα και θα οδηγείται από την αξία των θεραπειών</w:t>
      </w:r>
      <w:r w:rsidR="00417F3C">
        <w:t xml:space="preserve">. </w:t>
      </w:r>
    </w:p>
    <w:p w:rsidR="00807421" w:rsidRPr="00807421" w:rsidRDefault="00807421">
      <w:pPr>
        <w:rPr>
          <w:b/>
        </w:rPr>
      </w:pPr>
      <w:r w:rsidRPr="00807421">
        <w:rPr>
          <w:b/>
        </w:rPr>
        <w:t>Το σχέδιο δράσης</w:t>
      </w:r>
      <w:r>
        <w:rPr>
          <w:b/>
        </w:rPr>
        <w:t>:</w:t>
      </w:r>
      <w:r w:rsidRPr="00807421">
        <w:rPr>
          <w:b/>
        </w:rPr>
        <w:t xml:space="preserve"> </w:t>
      </w:r>
    </w:p>
    <w:p w:rsidR="00417F3C" w:rsidRDefault="00807421">
      <w:r>
        <w:t xml:space="preserve">Ενέργειες απαραίτητες από πλευράς υπουργείου Υγείας- </w:t>
      </w:r>
      <w:r w:rsidR="00417F3C">
        <w:t>τομές:</w:t>
      </w:r>
    </w:p>
    <w:p w:rsidR="00417F3C" w:rsidRDefault="00417F3C" w:rsidP="00F43286">
      <w:pPr>
        <w:pStyle w:val="a3"/>
        <w:numPr>
          <w:ilvl w:val="0"/>
          <w:numId w:val="2"/>
        </w:numPr>
      </w:pPr>
      <w:r>
        <w:t>Καθορισμός Εθνικών Υγειονομικών προτεραιοτήτων</w:t>
      </w:r>
    </w:p>
    <w:p w:rsidR="00417F3C" w:rsidRDefault="00645163" w:rsidP="00F43286">
      <w:pPr>
        <w:pStyle w:val="a3"/>
        <w:numPr>
          <w:ilvl w:val="0"/>
          <w:numId w:val="2"/>
        </w:numPr>
      </w:pPr>
      <w:r>
        <w:t>Εστίαση στην Πρωτοβάθμια περίθαλψη και στην πρόληψη</w:t>
      </w:r>
    </w:p>
    <w:p w:rsidR="00645163" w:rsidRDefault="00645163" w:rsidP="00F43286">
      <w:pPr>
        <w:pStyle w:val="a3"/>
        <w:numPr>
          <w:ilvl w:val="0"/>
          <w:numId w:val="2"/>
        </w:numPr>
      </w:pPr>
      <w:r>
        <w:t xml:space="preserve">Υιοθέτηση </w:t>
      </w:r>
      <w:r w:rsidR="004725F7">
        <w:t xml:space="preserve">θεραπευτικών </w:t>
      </w:r>
      <w:r>
        <w:t>λύσεων που βασίζονται στα αποτελέσματα των θεραπειών</w:t>
      </w:r>
    </w:p>
    <w:p w:rsidR="00CD5075" w:rsidRPr="00CD5075" w:rsidRDefault="00645163" w:rsidP="00F43286">
      <w:pPr>
        <w:pStyle w:val="a3"/>
        <w:numPr>
          <w:ilvl w:val="0"/>
          <w:numId w:val="2"/>
        </w:numPr>
      </w:pPr>
      <w:r w:rsidRPr="00CD5075">
        <w:t>Ε</w:t>
      </w:r>
      <w:r w:rsidR="004725F7" w:rsidRPr="00CD5075">
        <w:t>γκαθίδρυση της Ελλάδας ως διεθνούς κέντρου</w:t>
      </w:r>
      <w:r w:rsidRPr="00CD5075">
        <w:t xml:space="preserve"> παραγωγής </w:t>
      </w:r>
      <w:r w:rsidRPr="00CD5075">
        <w:rPr>
          <w:u w:val="single"/>
        </w:rPr>
        <w:t>Πραγματικών Στοιχείων θεραπειών</w:t>
      </w:r>
      <w:r w:rsidR="004725F7" w:rsidRPr="00CD5075">
        <w:rPr>
          <w:u w:val="single"/>
        </w:rPr>
        <w:t>-</w:t>
      </w:r>
      <w:r w:rsidR="004725F7" w:rsidRPr="00CD5075">
        <w:t xml:space="preserve"> στοιχείων </w:t>
      </w:r>
      <w:r w:rsidR="00AD240C" w:rsidRPr="00CD5075">
        <w:t xml:space="preserve"> προερχόμενα </w:t>
      </w:r>
      <w:r w:rsidR="004725F7" w:rsidRPr="00CD5075">
        <w:t xml:space="preserve">από την καθημερινή κλινική πρακτική </w:t>
      </w:r>
      <w:r w:rsidRPr="00CD5075">
        <w:t xml:space="preserve"> (</w:t>
      </w:r>
      <w:r w:rsidRPr="00CD5075">
        <w:rPr>
          <w:lang w:val="en-US"/>
        </w:rPr>
        <w:t>RWE</w:t>
      </w:r>
      <w:r w:rsidRPr="00CD5075">
        <w:t xml:space="preserve"> – </w:t>
      </w:r>
      <w:r w:rsidRPr="00CD5075">
        <w:rPr>
          <w:lang w:val="en-US"/>
        </w:rPr>
        <w:t>Real</w:t>
      </w:r>
      <w:r w:rsidRPr="00CD5075">
        <w:t xml:space="preserve"> </w:t>
      </w:r>
      <w:r w:rsidRPr="00CD5075">
        <w:rPr>
          <w:lang w:val="en-US"/>
        </w:rPr>
        <w:t>World</w:t>
      </w:r>
      <w:r w:rsidRPr="00CD5075">
        <w:t xml:space="preserve"> </w:t>
      </w:r>
      <w:r w:rsidRPr="00CD5075">
        <w:rPr>
          <w:lang w:val="en-US"/>
        </w:rPr>
        <w:t>Evidence</w:t>
      </w:r>
      <w:r w:rsidRPr="00CD5075">
        <w:t>)</w:t>
      </w:r>
      <w:r w:rsidR="000142C8" w:rsidRPr="00CD5075">
        <w:t xml:space="preserve"> </w:t>
      </w:r>
    </w:p>
    <w:p w:rsidR="00645163" w:rsidRPr="00CD5075" w:rsidRDefault="00645163" w:rsidP="00F43286">
      <w:pPr>
        <w:pStyle w:val="a3"/>
        <w:numPr>
          <w:ilvl w:val="0"/>
          <w:numId w:val="2"/>
        </w:numPr>
      </w:pPr>
      <w:r w:rsidRPr="00CD5075">
        <w:lastRenderedPageBreak/>
        <w:t>Εισαγωγή και αναθεώρηση ποιοτικών δεικτών αξιολόγησης</w:t>
      </w:r>
    </w:p>
    <w:p w:rsidR="00645163" w:rsidRPr="00CD5075" w:rsidRDefault="00645163" w:rsidP="00F43286">
      <w:pPr>
        <w:pStyle w:val="a3"/>
        <w:numPr>
          <w:ilvl w:val="0"/>
          <w:numId w:val="2"/>
        </w:numPr>
      </w:pPr>
      <w:r w:rsidRPr="00CD5075">
        <w:t>Εστίαση στην αξία και την καινοτομία</w:t>
      </w:r>
    </w:p>
    <w:p w:rsidR="00AD240C" w:rsidRPr="00AD240C" w:rsidRDefault="00AD240C">
      <w:pPr>
        <w:rPr>
          <w:b/>
        </w:rPr>
      </w:pPr>
      <w:r w:rsidRPr="00CD5075">
        <w:rPr>
          <w:b/>
        </w:rPr>
        <w:t xml:space="preserve">Βασική λογική αυτού του </w:t>
      </w:r>
      <w:r w:rsidR="00645163" w:rsidRPr="00CD5075">
        <w:rPr>
          <w:b/>
        </w:rPr>
        <w:t>νέου ολιστικού συστήματος</w:t>
      </w:r>
      <w:r w:rsidRPr="00AD240C">
        <w:rPr>
          <w:b/>
        </w:rPr>
        <w:t>:</w:t>
      </w:r>
    </w:p>
    <w:p w:rsidR="00AD240C" w:rsidRDefault="00645163" w:rsidP="00AD240C">
      <w:pPr>
        <w:pStyle w:val="a3"/>
        <w:numPr>
          <w:ilvl w:val="0"/>
          <w:numId w:val="7"/>
        </w:numPr>
      </w:pPr>
      <w:r>
        <w:t>παραγωγή καλύτερων αποτελεσμάτων για τους ασθενείς στο ίδιο ή σε χαμηλότερο κόστος.</w:t>
      </w:r>
    </w:p>
    <w:p w:rsidR="00AD240C" w:rsidRDefault="00645163" w:rsidP="00AD240C">
      <w:pPr>
        <w:pStyle w:val="a3"/>
        <w:numPr>
          <w:ilvl w:val="0"/>
          <w:numId w:val="7"/>
        </w:numPr>
      </w:pPr>
      <w:r>
        <w:t>τροφοδοσία του συστήματος με υψηλής ποιότητας στατιστικά στοιχεία,</w:t>
      </w:r>
      <w:r w:rsidR="00AD240C">
        <w:t xml:space="preserve"> τα οποία θα αξιοποιούνται για </w:t>
      </w:r>
      <w:r>
        <w:t xml:space="preserve"> ανα</w:t>
      </w:r>
      <w:r w:rsidR="00AD240C">
        <w:t xml:space="preserve">γνώριση της βέλτιστης πρακτικής, </w:t>
      </w:r>
      <w:r>
        <w:t>αλλαγή συμπεριφοράς</w:t>
      </w:r>
      <w:r w:rsidR="00AD240C">
        <w:t xml:space="preserve"> και εν τέλει διόρθωση τυχόν λαθών</w:t>
      </w:r>
      <w:r w:rsidR="00F43286">
        <w:t xml:space="preserve"> </w:t>
      </w:r>
    </w:p>
    <w:p w:rsidR="00AD240C" w:rsidRPr="00AD240C" w:rsidRDefault="00F43286">
      <w:pPr>
        <w:rPr>
          <w:b/>
        </w:rPr>
      </w:pPr>
      <w:r w:rsidRPr="00AD240C">
        <w:rPr>
          <w:b/>
        </w:rPr>
        <w:t xml:space="preserve">Για την εύρυθμη λειτουργία του συστήματος, </w:t>
      </w:r>
      <w:r w:rsidR="00AD240C" w:rsidRPr="00AD240C">
        <w:rPr>
          <w:b/>
        </w:rPr>
        <w:t>απαιτείται:</w:t>
      </w:r>
    </w:p>
    <w:p w:rsidR="00F43286" w:rsidRDefault="00F43286" w:rsidP="00AD240C">
      <w:pPr>
        <w:pStyle w:val="a3"/>
        <w:numPr>
          <w:ilvl w:val="0"/>
          <w:numId w:val="8"/>
        </w:numPr>
      </w:pPr>
      <w:r>
        <w:t>η υιοθέτηση των μοντέλων  αξιολόγησης των θεραπευτικών καινοτομιών που ακολουθεί η Ευρωπαϊκή Ένωση, αναφορικά με τις διαδικασίες αξιολόγησης τεχνολογιών υγείας (</w:t>
      </w:r>
      <w:r w:rsidRPr="00AD240C">
        <w:rPr>
          <w:lang w:val="en-US"/>
        </w:rPr>
        <w:t>HTA</w:t>
      </w:r>
      <w:r w:rsidRPr="00F43286">
        <w:t xml:space="preserve"> – </w:t>
      </w:r>
      <w:r w:rsidRPr="00AD240C">
        <w:rPr>
          <w:lang w:val="en-US"/>
        </w:rPr>
        <w:t>Health</w:t>
      </w:r>
      <w:r w:rsidRPr="00F43286">
        <w:t xml:space="preserve"> </w:t>
      </w:r>
      <w:r w:rsidRPr="00AD240C">
        <w:rPr>
          <w:lang w:val="en-US"/>
        </w:rPr>
        <w:t>Technology</w:t>
      </w:r>
      <w:r w:rsidRPr="00F43286">
        <w:t xml:space="preserve"> </w:t>
      </w:r>
      <w:r w:rsidRPr="00AD240C">
        <w:rPr>
          <w:lang w:val="en-US"/>
        </w:rPr>
        <w:t>Assessment</w:t>
      </w:r>
      <w:r w:rsidRPr="00F43286">
        <w:t xml:space="preserve">) </w:t>
      </w:r>
      <w:r>
        <w:t>και εγκρίσεων αδειών κυκλοφορίας, έτσι ώστε να προκύψει ένα δίκαιο σύστημα τιμολόγησης και αποζημίωσης των θεραπευτικών καινοτομιών.</w:t>
      </w:r>
    </w:p>
    <w:p w:rsidR="00AD240C" w:rsidRDefault="006247C0" w:rsidP="00AD240C">
      <w:pPr>
        <w:pStyle w:val="a3"/>
        <w:numPr>
          <w:ilvl w:val="0"/>
          <w:numId w:val="8"/>
        </w:numPr>
      </w:pPr>
      <w:r>
        <w:t xml:space="preserve">η μείωση του κόστους των παλαιότερων θεραπειών με άμεση διείσδυση </w:t>
      </w:r>
      <w:proofErr w:type="spellStart"/>
      <w:r>
        <w:t>γενόσημων</w:t>
      </w:r>
      <w:proofErr w:type="spellEnd"/>
      <w:r>
        <w:t xml:space="preserve"> τη στιγμή που λήγει η πατέντα ενός φαρμάκου</w:t>
      </w:r>
      <w:r w:rsidR="00B33B0B">
        <w:t>, η οποία με τη σειρά της θα φέρει τον ανταγωνισμό που είναι απαραίτητος για την μείωση των τιμών</w:t>
      </w:r>
      <w:r w:rsidR="00AD240C">
        <w:t>.</w:t>
      </w:r>
    </w:p>
    <w:p w:rsidR="00AD240C" w:rsidRDefault="00AD240C" w:rsidP="00AD240C">
      <w:pPr>
        <w:pStyle w:val="a3"/>
      </w:pPr>
    </w:p>
    <w:p w:rsidR="00B33B0B" w:rsidRPr="000142C8" w:rsidRDefault="00AD240C" w:rsidP="00AD240C">
      <w:pPr>
        <w:pStyle w:val="a3"/>
        <w:rPr>
          <w:u w:val="single"/>
        </w:rPr>
      </w:pPr>
      <w:r w:rsidRPr="000142C8">
        <w:rPr>
          <w:u w:val="single"/>
        </w:rPr>
        <w:t xml:space="preserve">Συμπέρασμα: </w:t>
      </w:r>
      <w:r w:rsidR="00B33B0B" w:rsidRPr="000142C8">
        <w:rPr>
          <w:u w:val="single"/>
        </w:rPr>
        <w:t xml:space="preserve">η φαρμακευτική καινοτομία και τα φάρμακα εν γένει θα πρέπει να αντιμετωπίζονται </w:t>
      </w:r>
      <w:r w:rsidRPr="000142C8">
        <w:rPr>
          <w:u w:val="single"/>
        </w:rPr>
        <w:t>ως</w:t>
      </w:r>
      <w:r w:rsidR="00B33B0B" w:rsidRPr="000142C8">
        <w:rPr>
          <w:u w:val="single"/>
        </w:rPr>
        <w:t xml:space="preserve"> εργαλείο λύσης των προβλημάτων και όχι </w:t>
      </w:r>
      <w:r w:rsidRPr="000142C8">
        <w:rPr>
          <w:u w:val="single"/>
        </w:rPr>
        <w:t xml:space="preserve">ως </w:t>
      </w:r>
      <w:r w:rsidR="00830957" w:rsidRPr="000142C8">
        <w:rPr>
          <w:u w:val="single"/>
        </w:rPr>
        <w:t>πρόβλημα. Η ε</w:t>
      </w:r>
      <w:r w:rsidR="00B33B0B" w:rsidRPr="000142C8">
        <w:rPr>
          <w:u w:val="single"/>
        </w:rPr>
        <w:t>λληνική Πολιτεία και τα θεσμικά της όργανα (ασφαλιστικοί οργανισμοί, ρυθμιστικοί οργανισμοί κλπ.) θα πρέπει να βελτιώσουν την αποτελεσματικότητά τους, να αποζημιώνουν με βάση τα αποτελέσματα και να ανασχεδιάζουν τις πολιτικές τους όχι βασιζόμενοι σε λογιστικές πρακτικές αλλά σε έξυπνες λύσεις που θα εξελίσσουν το σύστημα προς όφελος του ασθενή.</w:t>
      </w:r>
    </w:p>
    <w:p w:rsidR="00645163" w:rsidRDefault="00645163">
      <w:r>
        <w:t xml:space="preserve"> </w:t>
      </w:r>
    </w:p>
    <w:p w:rsidR="00645163" w:rsidRDefault="00645163">
      <w:r>
        <w:t xml:space="preserve">  </w:t>
      </w:r>
    </w:p>
    <w:p w:rsidR="003827B6" w:rsidRPr="003827B6" w:rsidRDefault="003827B6">
      <w:r>
        <w:t xml:space="preserve"> </w:t>
      </w:r>
    </w:p>
    <w:p w:rsidR="005A0171" w:rsidRDefault="005A0171"/>
    <w:p w:rsidR="005A0171" w:rsidRPr="005A0171" w:rsidRDefault="005A0171"/>
    <w:sectPr w:rsidR="005A0171" w:rsidRPr="005A0171" w:rsidSect="00B2536E">
      <w:pgSz w:w="11906" w:h="16838"/>
      <w:pgMar w:top="1440" w:right="1416"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AD" w:rsidRDefault="00846BAD" w:rsidP="00CD52CE">
      <w:pPr>
        <w:spacing w:after="0" w:line="240" w:lineRule="auto"/>
      </w:pPr>
      <w:r>
        <w:separator/>
      </w:r>
    </w:p>
  </w:endnote>
  <w:endnote w:type="continuationSeparator" w:id="0">
    <w:p w:rsidR="00846BAD" w:rsidRDefault="00846BAD" w:rsidP="00CD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AD" w:rsidRDefault="00846BAD" w:rsidP="00CD52CE">
      <w:pPr>
        <w:spacing w:after="0" w:line="240" w:lineRule="auto"/>
      </w:pPr>
      <w:r>
        <w:separator/>
      </w:r>
    </w:p>
  </w:footnote>
  <w:footnote w:type="continuationSeparator" w:id="0">
    <w:p w:rsidR="00846BAD" w:rsidRDefault="00846BAD" w:rsidP="00CD5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37A"/>
    <w:multiLevelType w:val="hybridMultilevel"/>
    <w:tmpl w:val="372AA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6A3BC2"/>
    <w:multiLevelType w:val="hybridMultilevel"/>
    <w:tmpl w:val="85DCB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C50A66"/>
    <w:multiLevelType w:val="hybridMultilevel"/>
    <w:tmpl w:val="54F837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A33A9A"/>
    <w:multiLevelType w:val="hybridMultilevel"/>
    <w:tmpl w:val="D51E95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3F17A3"/>
    <w:multiLevelType w:val="hybridMultilevel"/>
    <w:tmpl w:val="52C4A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9234BA"/>
    <w:multiLevelType w:val="hybridMultilevel"/>
    <w:tmpl w:val="1354D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A962DF"/>
    <w:multiLevelType w:val="hybridMultilevel"/>
    <w:tmpl w:val="A1BE5C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9DD1365"/>
    <w:multiLevelType w:val="hybridMultilevel"/>
    <w:tmpl w:val="169CD7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2F"/>
    <w:rsid w:val="000142C8"/>
    <w:rsid w:val="00031FFC"/>
    <w:rsid w:val="00046963"/>
    <w:rsid w:val="000A09E9"/>
    <w:rsid w:val="000B066E"/>
    <w:rsid w:val="002D38FB"/>
    <w:rsid w:val="003827B6"/>
    <w:rsid w:val="00417F3C"/>
    <w:rsid w:val="00465FFC"/>
    <w:rsid w:val="004725F7"/>
    <w:rsid w:val="00517A8E"/>
    <w:rsid w:val="005A0171"/>
    <w:rsid w:val="00621B43"/>
    <w:rsid w:val="006247C0"/>
    <w:rsid w:val="00645163"/>
    <w:rsid w:val="006A60F2"/>
    <w:rsid w:val="006C608D"/>
    <w:rsid w:val="007024F7"/>
    <w:rsid w:val="007313CD"/>
    <w:rsid w:val="008021FC"/>
    <w:rsid w:val="00807421"/>
    <w:rsid w:val="00830957"/>
    <w:rsid w:val="00846BAD"/>
    <w:rsid w:val="00957FB3"/>
    <w:rsid w:val="009F166B"/>
    <w:rsid w:val="00A16B63"/>
    <w:rsid w:val="00A52998"/>
    <w:rsid w:val="00AD240C"/>
    <w:rsid w:val="00AD3E7F"/>
    <w:rsid w:val="00B2536E"/>
    <w:rsid w:val="00B33B0B"/>
    <w:rsid w:val="00BB6450"/>
    <w:rsid w:val="00BE697F"/>
    <w:rsid w:val="00BF7350"/>
    <w:rsid w:val="00CD5075"/>
    <w:rsid w:val="00CD52CE"/>
    <w:rsid w:val="00CE4625"/>
    <w:rsid w:val="00D06576"/>
    <w:rsid w:val="00D30743"/>
    <w:rsid w:val="00DC50DD"/>
    <w:rsid w:val="00DD4499"/>
    <w:rsid w:val="00E0777F"/>
    <w:rsid w:val="00F43286"/>
    <w:rsid w:val="00F46A2F"/>
    <w:rsid w:val="00F62B19"/>
    <w:rsid w:val="00F818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77F"/>
    <w:pPr>
      <w:ind w:left="720"/>
      <w:contextualSpacing/>
    </w:pPr>
  </w:style>
  <w:style w:type="table" w:styleId="a4">
    <w:name w:val="Table Grid"/>
    <w:basedOn w:val="a1"/>
    <w:uiPriority w:val="39"/>
    <w:rsid w:val="00F8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D52CE"/>
    <w:pPr>
      <w:tabs>
        <w:tab w:val="center" w:pos="4153"/>
        <w:tab w:val="right" w:pos="8306"/>
      </w:tabs>
      <w:spacing w:after="0" w:line="240" w:lineRule="auto"/>
    </w:pPr>
  </w:style>
  <w:style w:type="character" w:customStyle="1" w:styleId="Char">
    <w:name w:val="Κεφαλίδα Char"/>
    <w:basedOn w:val="a0"/>
    <w:link w:val="a5"/>
    <w:uiPriority w:val="99"/>
    <w:rsid w:val="00CD52CE"/>
  </w:style>
  <w:style w:type="paragraph" w:styleId="a6">
    <w:name w:val="footer"/>
    <w:basedOn w:val="a"/>
    <w:link w:val="Char0"/>
    <w:uiPriority w:val="99"/>
    <w:unhideWhenUsed/>
    <w:rsid w:val="00CD52CE"/>
    <w:pPr>
      <w:tabs>
        <w:tab w:val="center" w:pos="4153"/>
        <w:tab w:val="right" w:pos="8306"/>
      </w:tabs>
      <w:spacing w:after="0" w:line="240" w:lineRule="auto"/>
    </w:pPr>
  </w:style>
  <w:style w:type="character" w:customStyle="1" w:styleId="Char0">
    <w:name w:val="Υποσέλιδο Char"/>
    <w:basedOn w:val="a0"/>
    <w:link w:val="a6"/>
    <w:uiPriority w:val="99"/>
    <w:rsid w:val="00CD52CE"/>
  </w:style>
  <w:style w:type="paragraph" w:styleId="a7">
    <w:name w:val="Balloon Text"/>
    <w:basedOn w:val="a"/>
    <w:link w:val="Char1"/>
    <w:uiPriority w:val="99"/>
    <w:semiHidden/>
    <w:unhideWhenUsed/>
    <w:rsid w:val="00CD52C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D5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77F"/>
    <w:pPr>
      <w:ind w:left="720"/>
      <w:contextualSpacing/>
    </w:pPr>
  </w:style>
  <w:style w:type="table" w:styleId="a4">
    <w:name w:val="Table Grid"/>
    <w:basedOn w:val="a1"/>
    <w:uiPriority w:val="39"/>
    <w:rsid w:val="00F8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D52CE"/>
    <w:pPr>
      <w:tabs>
        <w:tab w:val="center" w:pos="4153"/>
        <w:tab w:val="right" w:pos="8306"/>
      </w:tabs>
      <w:spacing w:after="0" w:line="240" w:lineRule="auto"/>
    </w:pPr>
  </w:style>
  <w:style w:type="character" w:customStyle="1" w:styleId="Char">
    <w:name w:val="Κεφαλίδα Char"/>
    <w:basedOn w:val="a0"/>
    <w:link w:val="a5"/>
    <w:uiPriority w:val="99"/>
    <w:rsid w:val="00CD52CE"/>
  </w:style>
  <w:style w:type="paragraph" w:styleId="a6">
    <w:name w:val="footer"/>
    <w:basedOn w:val="a"/>
    <w:link w:val="Char0"/>
    <w:uiPriority w:val="99"/>
    <w:unhideWhenUsed/>
    <w:rsid w:val="00CD52CE"/>
    <w:pPr>
      <w:tabs>
        <w:tab w:val="center" w:pos="4153"/>
        <w:tab w:val="right" w:pos="8306"/>
      </w:tabs>
      <w:spacing w:after="0" w:line="240" w:lineRule="auto"/>
    </w:pPr>
  </w:style>
  <w:style w:type="character" w:customStyle="1" w:styleId="Char0">
    <w:name w:val="Υποσέλιδο Char"/>
    <w:basedOn w:val="a0"/>
    <w:link w:val="a6"/>
    <w:uiPriority w:val="99"/>
    <w:rsid w:val="00CD52CE"/>
  </w:style>
  <w:style w:type="paragraph" w:styleId="a7">
    <w:name w:val="Balloon Text"/>
    <w:basedOn w:val="a"/>
    <w:link w:val="Char1"/>
    <w:uiPriority w:val="99"/>
    <w:semiHidden/>
    <w:unhideWhenUsed/>
    <w:rsid w:val="00CD52C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D5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A09C1AA9-FACC-4243-A144-D34A09A019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4790</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Francesca</cp:lastModifiedBy>
  <cp:revision>2</cp:revision>
  <dcterms:created xsi:type="dcterms:W3CDTF">2016-09-21T12:21:00Z</dcterms:created>
  <dcterms:modified xsi:type="dcterms:W3CDTF">2016-09-21T12:21:00Z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b426ea39-53dd-4f57-a3cb-a830c94d8d3e</vt:lpwstr>
  </property>
  <property fmtid="{D5CDD505-2E9C-101B-9397-08002B2CF9AE}" pid="3" name="bjSaver">
    <vt:lpwstr>uWSJNEaDPa13ixDjnSqIFWscGY30tADr</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9" name="_NewReviewCycle">
    <vt:lpwstr/>
  </property>
</Properties>
</file>