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1" w:rsidRPr="00886BF4" w:rsidRDefault="00786231" w:rsidP="00786231">
      <w:pPr>
        <w:pBdr>
          <w:bottom w:val="single" w:sz="4" w:space="1" w:color="auto"/>
        </w:pBdr>
        <w:tabs>
          <w:tab w:val="right" w:pos="9270"/>
        </w:tabs>
        <w:spacing w:line="276" w:lineRule="auto"/>
        <w:jc w:val="right"/>
        <w:rPr>
          <w:rFonts w:ascii="Arial Narrow" w:hAnsi="Arial Narrow" w:cs="Arial"/>
          <w:sz w:val="44"/>
          <w:szCs w:val="44"/>
          <w:lang w:val="el-GR"/>
        </w:rPr>
      </w:pPr>
      <w:r>
        <w:rPr>
          <w:rFonts w:ascii="Arial Narrow" w:hAnsi="Arial Narrow" w:cs="Arial"/>
          <w:sz w:val="44"/>
          <w:szCs w:val="44"/>
          <w:lang w:val="el-GR"/>
        </w:rPr>
        <w:t xml:space="preserve">Συμπληρωματικό υλικό </w:t>
      </w:r>
    </w:p>
    <w:p w:rsidR="00786231" w:rsidRPr="0026777D" w:rsidRDefault="00786231" w:rsidP="00786231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710DDF" w:rsidRPr="00710DDF" w:rsidRDefault="00710DDF" w:rsidP="00710DDF">
      <w:pPr>
        <w:spacing w:line="360" w:lineRule="auto"/>
        <w:jc w:val="both"/>
        <w:rPr>
          <w:rFonts w:ascii="Arial" w:hAnsi="Arial" w:cs="Arial"/>
          <w:b/>
          <w:lang w:val="el-GR"/>
        </w:rPr>
      </w:pPr>
      <w:r w:rsidRPr="00710DDF">
        <w:rPr>
          <w:rFonts w:ascii="Arial" w:hAnsi="Arial" w:cs="Arial"/>
          <w:b/>
          <w:lang w:val="el-GR"/>
        </w:rPr>
        <w:t xml:space="preserve">Πρόγραμμα κλινικών δοκιμών του </w:t>
      </w:r>
      <w:proofErr w:type="spellStart"/>
      <w:r w:rsidRPr="00DA7F56">
        <w:rPr>
          <w:rFonts w:ascii="Arial" w:hAnsi="Arial" w:cs="Arial"/>
          <w:b/>
        </w:rPr>
        <w:t>elbasvir</w:t>
      </w:r>
      <w:proofErr w:type="spellEnd"/>
      <w:r w:rsidRPr="00710DDF">
        <w:rPr>
          <w:rFonts w:ascii="Arial" w:hAnsi="Arial" w:cs="Arial"/>
          <w:b/>
          <w:lang w:val="el-GR"/>
        </w:rPr>
        <w:t>/</w:t>
      </w:r>
      <w:proofErr w:type="spellStart"/>
      <w:r w:rsidRPr="00DA7F56">
        <w:rPr>
          <w:rFonts w:ascii="Arial" w:hAnsi="Arial" w:cs="Arial"/>
          <w:b/>
        </w:rPr>
        <w:t>grazoprevir</w:t>
      </w:r>
      <w:proofErr w:type="spellEnd"/>
    </w:p>
    <w:p w:rsidR="00710DDF" w:rsidRPr="00D82B49" w:rsidRDefault="00710DDF" w:rsidP="00710DDF">
      <w:pPr>
        <w:spacing w:line="360" w:lineRule="auto"/>
        <w:ind w:firstLine="720"/>
        <w:jc w:val="both"/>
        <w:rPr>
          <w:rFonts w:ascii="Arial" w:hAnsi="Arial" w:cs="Arial"/>
        </w:rPr>
      </w:pPr>
      <w:r w:rsidRPr="00710DDF">
        <w:rPr>
          <w:rFonts w:ascii="Arial" w:hAnsi="Arial" w:cs="Arial"/>
          <w:lang w:val="el-GR"/>
        </w:rPr>
        <w:t xml:space="preserve">Η αποτελεσματικότητα και η ασφάλεια του συνδυασμού </w:t>
      </w:r>
      <w:proofErr w:type="spellStart"/>
      <w:r w:rsidRPr="00DA7F56">
        <w:rPr>
          <w:rFonts w:ascii="Arial" w:hAnsi="Arial" w:cs="Arial"/>
        </w:rPr>
        <w:t>elbasvir</w:t>
      </w:r>
      <w:proofErr w:type="spellEnd"/>
      <w:r w:rsidRPr="00710DDF">
        <w:rPr>
          <w:rFonts w:ascii="Arial" w:hAnsi="Arial" w:cs="Arial"/>
          <w:lang w:val="el-GR"/>
        </w:rPr>
        <w:t>/</w:t>
      </w:r>
      <w:proofErr w:type="spellStart"/>
      <w:r w:rsidRPr="00DA7F56">
        <w:rPr>
          <w:rFonts w:ascii="Arial" w:hAnsi="Arial" w:cs="Arial"/>
        </w:rPr>
        <w:t>grazoprevir</w:t>
      </w:r>
      <w:proofErr w:type="spellEnd"/>
      <w:r w:rsidRPr="00710DDF">
        <w:rPr>
          <w:rFonts w:ascii="Arial" w:hAnsi="Arial" w:cs="Arial"/>
          <w:lang w:val="el-GR"/>
        </w:rPr>
        <w:t xml:space="preserve">, αξιολογήθηκε σε οκτώ κλινικές δοκιμές όπου συμμετείχαν περίπου 2.000 ασθενείς. Το πρόγραμμα ανάπτυξης σχεδιάστηκε έτσι ώστε να αξιολογήσει τον συνδυασμό έναντι διαφορετικών ασθενών με </w:t>
      </w:r>
      <w:r w:rsidRPr="00DA7F56">
        <w:rPr>
          <w:rFonts w:ascii="Arial" w:hAnsi="Arial" w:cs="Arial"/>
        </w:rPr>
        <w:t>HCV</w:t>
      </w:r>
      <w:r w:rsidRPr="00710DDF">
        <w:rPr>
          <w:rFonts w:ascii="Arial" w:hAnsi="Arial" w:cs="Arial"/>
          <w:lang w:val="el-GR"/>
        </w:rPr>
        <w:t xml:space="preserve">, συμπεριλαμβανομένων αυτών που βρίσκονται σε θεραπείες υποκατάστασης με αγωνιστές </w:t>
      </w:r>
      <w:proofErr w:type="spellStart"/>
      <w:r w:rsidRPr="00710DDF">
        <w:rPr>
          <w:rFonts w:ascii="Arial" w:hAnsi="Arial" w:cs="Arial"/>
          <w:lang w:val="el-GR"/>
        </w:rPr>
        <w:t>οπιοειδών</w:t>
      </w:r>
      <w:proofErr w:type="spellEnd"/>
      <w:r w:rsidRPr="00710DDF">
        <w:rPr>
          <w:rFonts w:ascii="Arial" w:hAnsi="Arial" w:cs="Arial"/>
          <w:lang w:val="el-GR"/>
        </w:rPr>
        <w:t xml:space="preserve">, με χρόνια νεφρική νόσο ή με </w:t>
      </w:r>
      <w:proofErr w:type="spellStart"/>
      <w:r w:rsidRPr="00710DDF">
        <w:rPr>
          <w:rFonts w:ascii="Arial" w:hAnsi="Arial" w:cs="Arial"/>
          <w:lang w:val="el-GR"/>
        </w:rPr>
        <w:t>συλλοίμωξη</w:t>
      </w:r>
      <w:proofErr w:type="spellEnd"/>
      <w:r w:rsidRPr="00710DDF">
        <w:rPr>
          <w:rFonts w:ascii="Arial" w:hAnsi="Arial" w:cs="Arial"/>
          <w:lang w:val="el-GR"/>
        </w:rPr>
        <w:t xml:space="preserve"> με </w:t>
      </w:r>
      <w:r w:rsidRPr="00DA7F56">
        <w:rPr>
          <w:rFonts w:ascii="Arial" w:hAnsi="Arial" w:cs="Arial"/>
        </w:rPr>
        <w:t>HIV</w:t>
      </w:r>
      <w:r w:rsidRPr="00710DDF">
        <w:rPr>
          <w:rFonts w:ascii="Arial" w:hAnsi="Arial" w:cs="Arial"/>
          <w:lang w:val="el-GR"/>
        </w:rPr>
        <w:t xml:space="preserve">. Το πρωτεύον καταληκτικό σημείο όλων των μελετών ήταν η αξιολόγηση  του </w:t>
      </w:r>
      <w:r w:rsidRPr="00DA7F56">
        <w:rPr>
          <w:rFonts w:ascii="Arial" w:hAnsi="Arial" w:cs="Arial"/>
        </w:rPr>
        <w:t>SVR</w:t>
      </w:r>
      <w:r w:rsidRPr="00710DDF">
        <w:rPr>
          <w:rFonts w:ascii="Arial" w:hAnsi="Arial" w:cs="Arial"/>
          <w:lang w:val="el-GR"/>
        </w:rPr>
        <w:t xml:space="preserve">12. </w:t>
      </w:r>
      <w:proofErr w:type="gramStart"/>
      <w:r w:rsidRPr="00DA7F56">
        <w:rPr>
          <w:rFonts w:ascii="Arial" w:hAnsi="Arial" w:cs="Arial"/>
        </w:rPr>
        <w:t>Ο παρα</w:t>
      </w:r>
      <w:proofErr w:type="spellStart"/>
      <w:r w:rsidRPr="00DA7F56">
        <w:rPr>
          <w:rFonts w:ascii="Arial" w:hAnsi="Arial" w:cs="Arial"/>
        </w:rPr>
        <w:t>κάτω</w:t>
      </w:r>
      <w:proofErr w:type="spellEnd"/>
      <w:r w:rsidRPr="00DA7F56">
        <w:rPr>
          <w:rFonts w:ascii="Arial" w:hAnsi="Arial" w:cs="Arial"/>
        </w:rPr>
        <w:t xml:space="preserve"> π</w:t>
      </w:r>
      <w:proofErr w:type="spellStart"/>
      <w:r w:rsidRPr="00DA7F56">
        <w:rPr>
          <w:rFonts w:ascii="Arial" w:hAnsi="Arial" w:cs="Arial"/>
        </w:rPr>
        <w:t>ίν</w:t>
      </w:r>
      <w:proofErr w:type="spellEnd"/>
      <w:r w:rsidRPr="00DA7F56">
        <w:rPr>
          <w:rFonts w:ascii="Arial" w:hAnsi="Arial" w:cs="Arial"/>
        </w:rPr>
        <w:t xml:space="preserve">ακας </w:t>
      </w:r>
      <w:proofErr w:type="spellStart"/>
      <w:r w:rsidRPr="00DA7F56">
        <w:rPr>
          <w:rFonts w:ascii="Arial" w:hAnsi="Arial" w:cs="Arial"/>
        </w:rPr>
        <w:t>δίνει</w:t>
      </w:r>
      <w:proofErr w:type="spellEnd"/>
      <w:r w:rsidRPr="00DA7F56">
        <w:rPr>
          <w:rFonts w:ascii="Arial" w:hAnsi="Arial" w:cs="Arial"/>
        </w:rPr>
        <w:t xml:space="preserve"> </w:t>
      </w:r>
      <w:proofErr w:type="spellStart"/>
      <w:r w:rsidRPr="00DA7F56">
        <w:rPr>
          <w:rFonts w:ascii="Arial" w:hAnsi="Arial" w:cs="Arial"/>
        </w:rPr>
        <w:t>μι</w:t>
      </w:r>
      <w:proofErr w:type="spellEnd"/>
      <w:r w:rsidRPr="00DA7F56">
        <w:rPr>
          <w:rFonts w:ascii="Arial" w:hAnsi="Arial" w:cs="Arial"/>
        </w:rPr>
        <w:t>α π</w:t>
      </w:r>
      <w:proofErr w:type="spellStart"/>
      <w:r w:rsidRPr="00DA7F56">
        <w:rPr>
          <w:rFonts w:ascii="Arial" w:hAnsi="Arial" w:cs="Arial"/>
        </w:rPr>
        <w:t>ερίληψη</w:t>
      </w:r>
      <w:proofErr w:type="spellEnd"/>
      <w:r w:rsidRPr="00DA7F56">
        <w:rPr>
          <w:rFonts w:ascii="Arial" w:hAnsi="Arial" w:cs="Arial"/>
        </w:rPr>
        <w:t xml:space="preserve"> </w:t>
      </w:r>
      <w:proofErr w:type="spellStart"/>
      <w:r w:rsidRPr="00DA7F56">
        <w:rPr>
          <w:rFonts w:ascii="Arial" w:hAnsi="Arial" w:cs="Arial"/>
        </w:rPr>
        <w:t>των</w:t>
      </w:r>
      <w:proofErr w:type="spellEnd"/>
      <w:r w:rsidRPr="00DA7F56">
        <w:rPr>
          <w:rFonts w:ascii="Arial" w:hAnsi="Arial" w:cs="Arial"/>
        </w:rPr>
        <w:t xml:space="preserve"> </w:t>
      </w:r>
      <w:proofErr w:type="spellStart"/>
      <w:r w:rsidRPr="00DA7F56">
        <w:rPr>
          <w:rFonts w:ascii="Arial" w:hAnsi="Arial" w:cs="Arial"/>
        </w:rPr>
        <w:t>μελετών</w:t>
      </w:r>
      <w:proofErr w:type="spellEnd"/>
      <w:r w:rsidRPr="00DA7F56">
        <w:rPr>
          <w:rFonts w:ascii="Arial" w:hAnsi="Arial" w:cs="Arial"/>
        </w:rPr>
        <w:t>.</w:t>
      </w:r>
      <w:proofErr w:type="gramEnd"/>
      <w:r w:rsidRPr="00DA7F56">
        <w:rPr>
          <w:rFonts w:ascii="Arial" w:hAnsi="Arial" w:cs="Arial"/>
        </w:rPr>
        <w:t xml:space="preserve"> </w:t>
      </w:r>
    </w:p>
    <w:p w:rsidR="00710DDF" w:rsidRDefault="00710DDF" w:rsidP="00710DDF">
      <w:pPr>
        <w:spacing w:line="360" w:lineRule="auto"/>
        <w:jc w:val="both"/>
        <w:rPr>
          <w:rFonts w:ascii="Arial" w:hAnsi="Arial" w:cs="Arial"/>
          <w:lang w:val="el-GR"/>
        </w:rPr>
      </w:pPr>
    </w:p>
    <w:p w:rsidR="00710DDF" w:rsidRPr="00710DDF" w:rsidRDefault="00710DDF" w:rsidP="00710DDF">
      <w:pPr>
        <w:spacing w:line="360" w:lineRule="auto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1981"/>
        <w:gridCol w:w="4671"/>
      </w:tblGrid>
      <w:tr w:rsidR="00710DDF" w:rsidRPr="00DA7F56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A7F56">
              <w:rPr>
                <w:rFonts w:ascii="Arial" w:hAnsi="Arial" w:cs="Arial"/>
                <w:b/>
              </w:rPr>
              <w:t>Μελέτη</w:t>
            </w:r>
            <w:proofErr w:type="spellEnd"/>
          </w:p>
        </w:tc>
        <w:tc>
          <w:tcPr>
            <w:tcW w:w="1984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A7F56">
              <w:rPr>
                <w:rFonts w:ascii="Arial" w:hAnsi="Arial" w:cs="Arial"/>
                <w:b/>
              </w:rPr>
              <w:t>Πληθυσμός</w:t>
            </w:r>
            <w:proofErr w:type="spellEnd"/>
            <w:r w:rsidRPr="00DA7F56">
              <w:rPr>
                <w:rFonts w:ascii="Arial" w:hAnsi="Arial" w:cs="Arial"/>
                <w:b/>
              </w:rPr>
              <w:t xml:space="preserve"> α</w:t>
            </w:r>
            <w:proofErr w:type="spellStart"/>
            <w:r w:rsidRPr="00DA7F56">
              <w:rPr>
                <w:rFonts w:ascii="Arial" w:hAnsi="Arial" w:cs="Arial"/>
                <w:b/>
              </w:rPr>
              <w:t>σθενών</w:t>
            </w:r>
            <w:proofErr w:type="spellEnd"/>
          </w:p>
        </w:tc>
        <w:tc>
          <w:tcPr>
            <w:tcW w:w="4757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A7F56">
              <w:rPr>
                <w:rFonts w:ascii="Arial" w:hAnsi="Arial" w:cs="Arial"/>
                <w:b/>
              </w:rPr>
              <w:t>Ομάδες</w:t>
            </w:r>
            <w:proofErr w:type="spellEnd"/>
            <w:r w:rsidRPr="00DA7F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  <w:b/>
              </w:rPr>
              <w:t>μελέτης</w:t>
            </w:r>
            <w:proofErr w:type="spellEnd"/>
            <w:r w:rsidRPr="00DA7F56">
              <w:rPr>
                <w:rFonts w:ascii="Arial" w:hAnsi="Arial" w:cs="Arial"/>
                <w:b/>
              </w:rPr>
              <w:t xml:space="preserve"> και </w:t>
            </w:r>
            <w:proofErr w:type="spellStart"/>
            <w:r w:rsidRPr="00DA7F56">
              <w:rPr>
                <w:rFonts w:ascii="Arial" w:hAnsi="Arial" w:cs="Arial"/>
                <w:b/>
              </w:rPr>
              <w:t>διάρκει</w:t>
            </w:r>
            <w:proofErr w:type="spellEnd"/>
            <w:r w:rsidRPr="00DA7F56">
              <w:rPr>
                <w:rFonts w:ascii="Arial" w:hAnsi="Arial" w:cs="Arial"/>
                <w:b/>
              </w:rPr>
              <w:t>α</w:t>
            </w:r>
          </w:p>
        </w:tc>
      </w:tr>
      <w:tr w:rsidR="00710DDF" w:rsidRPr="00DA7F56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i/>
              </w:rPr>
            </w:pPr>
            <w:r w:rsidRPr="00DA7F56">
              <w:rPr>
                <w:rFonts w:ascii="Arial" w:hAnsi="Arial" w:cs="Arial"/>
                <w:i/>
              </w:rPr>
              <w:t>C-EDGE TN</w:t>
            </w: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>(</w:t>
            </w:r>
            <w:proofErr w:type="spellStart"/>
            <w:r w:rsidRPr="00DA7F56">
              <w:rPr>
                <w:rFonts w:ascii="Arial" w:hAnsi="Arial" w:cs="Arial"/>
              </w:rPr>
              <w:t>δι</w:t>
            </w:r>
            <w:proofErr w:type="spellEnd"/>
            <w:r w:rsidRPr="00DA7F56">
              <w:rPr>
                <w:rFonts w:ascii="Arial" w:hAnsi="Arial" w:cs="Arial"/>
              </w:rPr>
              <w:t xml:space="preserve">πλά </w:t>
            </w:r>
            <w:proofErr w:type="spellStart"/>
            <w:r w:rsidRPr="00DA7F56">
              <w:rPr>
                <w:rFonts w:ascii="Arial" w:hAnsi="Arial" w:cs="Arial"/>
              </w:rPr>
              <w:t>τυφλή</w:t>
            </w:r>
            <w:proofErr w:type="spellEnd"/>
            <w:r w:rsidRPr="00DA7F56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1,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4 ή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6 </w:t>
            </w:r>
            <w:r w:rsidRPr="00DA7F56">
              <w:rPr>
                <w:rFonts w:ascii="Arial" w:hAnsi="Arial" w:cs="Arial"/>
              </w:rPr>
              <w:t>TN</w:t>
            </w:r>
            <w:r w:rsidRPr="00710DDF">
              <w:rPr>
                <w:rFonts w:ascii="Arial" w:hAnsi="Arial" w:cs="Arial"/>
                <w:lang w:val="el-GR"/>
              </w:rPr>
              <w:t xml:space="preserve"> +/- κίρρωση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για 12 εβδομάδες (Ν=316)</w:t>
            </w: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DA7F56">
              <w:rPr>
                <w:rFonts w:ascii="Arial" w:hAnsi="Arial" w:cs="Arial"/>
              </w:rPr>
              <w:t>Εικονικό</w:t>
            </w:r>
            <w:proofErr w:type="spellEnd"/>
            <w:r w:rsidRPr="00DA7F56">
              <w:rPr>
                <w:rFonts w:ascii="Arial" w:hAnsi="Arial" w:cs="Arial"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</w:rPr>
              <w:t>γι</w:t>
            </w:r>
            <w:proofErr w:type="spellEnd"/>
            <w:r w:rsidRPr="00DA7F56">
              <w:rPr>
                <w:rFonts w:ascii="Arial" w:hAnsi="Arial" w:cs="Arial"/>
              </w:rPr>
              <w:t>α 12 εβ</w:t>
            </w:r>
            <w:proofErr w:type="spellStart"/>
            <w:r w:rsidRPr="00DA7F56">
              <w:rPr>
                <w:rFonts w:ascii="Arial" w:hAnsi="Arial" w:cs="Arial"/>
              </w:rPr>
              <w:t>δομάδες</w:t>
            </w:r>
            <w:proofErr w:type="spellEnd"/>
            <w:r w:rsidRPr="00DA7F56">
              <w:rPr>
                <w:rFonts w:ascii="Arial" w:hAnsi="Arial" w:cs="Arial"/>
              </w:rPr>
              <w:t xml:space="preserve"> (Ν=105)</w:t>
            </w:r>
          </w:p>
        </w:tc>
      </w:tr>
      <w:tr w:rsidR="00710DDF" w:rsidRPr="00710DDF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i/>
              </w:rPr>
            </w:pPr>
            <w:r w:rsidRPr="00DA7F56">
              <w:rPr>
                <w:rFonts w:ascii="Arial" w:hAnsi="Arial" w:cs="Arial"/>
                <w:i/>
              </w:rPr>
              <w:t>C-EDGE COINFECTION</w:t>
            </w: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>(α</w:t>
            </w:r>
            <w:proofErr w:type="spellStart"/>
            <w:r w:rsidRPr="00DA7F56">
              <w:rPr>
                <w:rFonts w:ascii="Arial" w:hAnsi="Arial" w:cs="Arial"/>
              </w:rPr>
              <w:t>νοιχτής</w:t>
            </w:r>
            <w:proofErr w:type="spellEnd"/>
            <w:r w:rsidRPr="00DA7F56">
              <w:rPr>
                <w:rFonts w:ascii="Arial" w:hAnsi="Arial" w:cs="Arial"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</w:rPr>
              <w:t>σήμ</w:t>
            </w:r>
            <w:proofErr w:type="spellEnd"/>
            <w:r w:rsidRPr="00DA7F56">
              <w:rPr>
                <w:rFonts w:ascii="Arial" w:hAnsi="Arial" w:cs="Arial"/>
              </w:rPr>
              <w:t>ανσης)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</w:t>
            </w:r>
            <w:r w:rsidRPr="00710DDF">
              <w:rPr>
                <w:rFonts w:ascii="Arial" w:hAnsi="Arial" w:cs="Arial"/>
                <w:lang w:val="el-GR"/>
              </w:rPr>
              <w:t xml:space="preserve">Τ1,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4 ή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6 </w:t>
            </w:r>
            <w:r w:rsidRPr="00DA7F56">
              <w:rPr>
                <w:rFonts w:ascii="Arial" w:hAnsi="Arial" w:cs="Arial"/>
              </w:rPr>
              <w:t>TN</w:t>
            </w:r>
            <w:r w:rsidRPr="00710DDF">
              <w:rPr>
                <w:rFonts w:ascii="Arial" w:hAnsi="Arial" w:cs="Arial"/>
                <w:lang w:val="el-GR"/>
              </w:rPr>
              <w:t xml:space="preserve"> με </w:t>
            </w:r>
            <w:proofErr w:type="spellStart"/>
            <w:r w:rsidRPr="00710DDF">
              <w:rPr>
                <w:rFonts w:ascii="Arial" w:hAnsi="Arial" w:cs="Arial"/>
                <w:lang w:val="el-GR"/>
              </w:rPr>
              <w:t>συννοσηρότητα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</w:t>
            </w:r>
            <w:r w:rsidRPr="00DA7F56">
              <w:rPr>
                <w:rFonts w:ascii="Arial" w:hAnsi="Arial" w:cs="Arial"/>
              </w:rPr>
              <w:t>HCV</w:t>
            </w:r>
            <w:r w:rsidRPr="00710DDF">
              <w:rPr>
                <w:rFonts w:ascii="Arial" w:hAnsi="Arial" w:cs="Arial"/>
                <w:lang w:val="el-GR"/>
              </w:rPr>
              <w:t>/</w:t>
            </w:r>
            <w:r w:rsidRPr="00DA7F56">
              <w:rPr>
                <w:rFonts w:ascii="Arial" w:hAnsi="Arial" w:cs="Arial"/>
              </w:rPr>
              <w:t>HIV</w:t>
            </w:r>
            <w:r w:rsidRPr="00710DDF">
              <w:rPr>
                <w:rFonts w:ascii="Arial" w:hAnsi="Arial" w:cs="Arial"/>
                <w:lang w:val="el-GR"/>
              </w:rPr>
              <w:t>-1 +/- κίρρωση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για 12 εβδομάδες (Ν=218)</w:t>
            </w: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710DDF" w:rsidRPr="00DA7F56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i/>
              </w:rPr>
            </w:pPr>
            <w:r w:rsidRPr="00DA7F56">
              <w:rPr>
                <w:rFonts w:ascii="Arial" w:hAnsi="Arial" w:cs="Arial"/>
                <w:i/>
              </w:rPr>
              <w:t>C-SURFER</w:t>
            </w: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>(</w:t>
            </w:r>
            <w:proofErr w:type="spellStart"/>
            <w:r w:rsidRPr="00DA7F56">
              <w:rPr>
                <w:rFonts w:ascii="Arial" w:hAnsi="Arial" w:cs="Arial"/>
              </w:rPr>
              <w:t>δι</w:t>
            </w:r>
            <w:proofErr w:type="spellEnd"/>
            <w:r w:rsidRPr="00DA7F56">
              <w:rPr>
                <w:rFonts w:ascii="Arial" w:hAnsi="Arial" w:cs="Arial"/>
              </w:rPr>
              <w:t xml:space="preserve">πλά </w:t>
            </w:r>
            <w:proofErr w:type="spellStart"/>
            <w:r w:rsidRPr="00DA7F56">
              <w:rPr>
                <w:rFonts w:ascii="Arial" w:hAnsi="Arial" w:cs="Arial"/>
              </w:rPr>
              <w:t>τυφλή</w:t>
            </w:r>
            <w:proofErr w:type="spellEnd"/>
            <w:r w:rsidRPr="00DA7F56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1 </w:t>
            </w:r>
            <w:r w:rsidRPr="00DA7F56">
              <w:rPr>
                <w:rFonts w:ascii="Arial" w:hAnsi="Arial" w:cs="Arial"/>
              </w:rPr>
              <w:t>TN</w:t>
            </w:r>
            <w:r w:rsidRPr="00710DDF">
              <w:rPr>
                <w:rFonts w:ascii="Arial" w:hAnsi="Arial" w:cs="Arial"/>
                <w:lang w:val="el-GR"/>
              </w:rPr>
              <w:t xml:space="preserve"> ή </w:t>
            </w:r>
            <w:r w:rsidRPr="00DA7F56">
              <w:rPr>
                <w:rFonts w:ascii="Arial" w:hAnsi="Arial" w:cs="Arial"/>
              </w:rPr>
              <w:t>TE</w:t>
            </w:r>
            <w:r w:rsidRPr="00710DDF">
              <w:rPr>
                <w:rFonts w:ascii="Arial" w:hAnsi="Arial" w:cs="Arial"/>
                <w:lang w:val="el-GR"/>
              </w:rPr>
              <w:t xml:space="preserve"> με χρόνια ηπατική νόσο Σταδίου 4 ή 5 +/- κίρρωση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* για 12 εβδομάδες (Ν=122, συμπεριλαμβανομένων 11 ασθενών σε ομάδα ανοιχτής σήμανσης έντονης </w:t>
            </w:r>
            <w:r w:rsidRPr="00DA7F56">
              <w:rPr>
                <w:rFonts w:ascii="Arial" w:hAnsi="Arial" w:cs="Arial"/>
              </w:rPr>
              <w:t>PK</w:t>
            </w:r>
            <w:r w:rsidRPr="00710DDF">
              <w:rPr>
                <w:rFonts w:ascii="Arial" w:hAnsi="Arial" w:cs="Arial"/>
                <w:lang w:val="el-GR"/>
              </w:rPr>
              <w:t>)</w:t>
            </w: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Εικονικό</w:t>
            </w:r>
            <w:proofErr w:type="spellEnd"/>
            <w:r w:rsidRPr="00DA7F56">
              <w:rPr>
                <w:rFonts w:ascii="Arial" w:hAnsi="Arial" w:cs="Arial"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</w:rPr>
              <w:t>γι</w:t>
            </w:r>
            <w:proofErr w:type="spellEnd"/>
            <w:r w:rsidRPr="00DA7F56">
              <w:rPr>
                <w:rFonts w:ascii="Arial" w:hAnsi="Arial" w:cs="Arial"/>
              </w:rPr>
              <w:t>α 12 εβ</w:t>
            </w:r>
            <w:proofErr w:type="spellStart"/>
            <w:r w:rsidRPr="00DA7F56">
              <w:rPr>
                <w:rFonts w:ascii="Arial" w:hAnsi="Arial" w:cs="Arial"/>
              </w:rPr>
              <w:t>δομάδες</w:t>
            </w:r>
            <w:proofErr w:type="spellEnd"/>
            <w:r w:rsidRPr="00DA7F56">
              <w:rPr>
                <w:rFonts w:ascii="Arial" w:hAnsi="Arial" w:cs="Arial"/>
              </w:rPr>
              <w:t xml:space="preserve"> (Ν=105)</w:t>
            </w:r>
          </w:p>
        </w:tc>
      </w:tr>
      <w:tr w:rsidR="00710DDF" w:rsidRPr="00710DDF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  <w:i/>
              </w:rPr>
              <w:t>C-WORTHY</w:t>
            </w:r>
            <w:r w:rsidRPr="00DA7F56">
              <w:rPr>
                <w:rFonts w:ascii="Arial" w:hAnsi="Arial" w:cs="Arial"/>
              </w:rPr>
              <w:t xml:space="preserve"> (α</w:t>
            </w:r>
            <w:proofErr w:type="spellStart"/>
            <w:r w:rsidRPr="00DA7F56">
              <w:rPr>
                <w:rFonts w:ascii="Arial" w:hAnsi="Arial" w:cs="Arial"/>
              </w:rPr>
              <w:t>νοιχτής</w:t>
            </w:r>
            <w:proofErr w:type="spellEnd"/>
            <w:r w:rsidRPr="00DA7F56">
              <w:rPr>
                <w:rFonts w:ascii="Arial" w:hAnsi="Arial" w:cs="Arial"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</w:rPr>
              <w:t>σήμ</w:t>
            </w:r>
            <w:proofErr w:type="spellEnd"/>
            <w:r w:rsidRPr="00DA7F56">
              <w:rPr>
                <w:rFonts w:ascii="Arial" w:hAnsi="Arial" w:cs="Arial"/>
              </w:rPr>
              <w:t>ανσης)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1 ή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3 </w:t>
            </w:r>
            <w:r w:rsidRPr="00DA7F56">
              <w:rPr>
                <w:rFonts w:ascii="Arial" w:hAnsi="Arial" w:cs="Arial"/>
              </w:rPr>
              <w:t>TN</w:t>
            </w:r>
            <w:r w:rsidRPr="00710DDF">
              <w:rPr>
                <w:rFonts w:ascii="Arial" w:hAnsi="Arial" w:cs="Arial"/>
                <w:lang w:val="el-GR"/>
              </w:rPr>
              <w:t xml:space="preserve"> +/- κίρρωση, </w:t>
            </w:r>
            <w:r w:rsidRPr="00DA7F56">
              <w:rPr>
                <w:rFonts w:ascii="Arial" w:hAnsi="Arial" w:cs="Arial"/>
              </w:rPr>
              <w:t>TE</w:t>
            </w:r>
            <w:r w:rsidRPr="00710DDF">
              <w:rPr>
                <w:rFonts w:ascii="Arial" w:hAnsi="Arial" w:cs="Arial"/>
                <w:lang w:val="el-GR"/>
              </w:rPr>
              <w:t xml:space="preserve"> χωρίς απόκριση +/- κίρρωση, ΤΝ με </w:t>
            </w:r>
            <w:proofErr w:type="spellStart"/>
            <w:r w:rsidRPr="00710DDF">
              <w:rPr>
                <w:rFonts w:ascii="Arial" w:hAnsi="Arial" w:cs="Arial"/>
                <w:lang w:val="el-GR"/>
              </w:rPr>
              <w:t>συννοσηρότητα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</w:t>
            </w:r>
            <w:r w:rsidRPr="00DA7F56">
              <w:rPr>
                <w:rFonts w:ascii="Arial" w:hAnsi="Arial" w:cs="Arial"/>
              </w:rPr>
              <w:t>HIV</w:t>
            </w:r>
            <w:r w:rsidRPr="00710DDF">
              <w:rPr>
                <w:rFonts w:ascii="Arial" w:hAnsi="Arial" w:cs="Arial"/>
                <w:lang w:val="el-GR"/>
              </w:rPr>
              <w:t>-1/</w:t>
            </w:r>
            <w:r w:rsidRPr="00DA7F56">
              <w:rPr>
                <w:rFonts w:ascii="Arial" w:hAnsi="Arial" w:cs="Arial"/>
              </w:rPr>
              <w:t>HCV</w:t>
            </w:r>
            <w:r w:rsidRPr="00710DDF">
              <w:rPr>
                <w:rFonts w:ascii="Arial" w:hAnsi="Arial" w:cs="Arial"/>
                <w:lang w:val="el-GR"/>
              </w:rPr>
              <w:t xml:space="preserve"> χωρίς κίρρωση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* για 8, 12 ή 18 εβδομάδες (Ν=31, 136 και 63, αντίστοιχα)</w:t>
            </w: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* και </w:t>
            </w:r>
            <w:r w:rsidRPr="00DA7F56">
              <w:rPr>
                <w:rFonts w:ascii="Arial" w:hAnsi="Arial" w:cs="Arial"/>
              </w:rPr>
              <w:t>ribavirin</w:t>
            </w:r>
            <w:r w:rsidRPr="00710DDF">
              <w:rPr>
                <w:rFonts w:ascii="Arial" w:hAnsi="Arial" w:cs="Arial"/>
                <w:lang w:val="el-GR"/>
              </w:rPr>
              <w:t>** για 8, 12 ή 18 εβδομάδες (Ν=60, 152 και 65, αντίστοιχα)</w:t>
            </w:r>
          </w:p>
        </w:tc>
      </w:tr>
      <w:tr w:rsidR="00710DDF" w:rsidRPr="00710DDF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i/>
              </w:rPr>
            </w:pPr>
            <w:r w:rsidRPr="00DA7F56">
              <w:rPr>
                <w:rFonts w:ascii="Arial" w:hAnsi="Arial" w:cs="Arial"/>
                <w:i/>
              </w:rPr>
              <w:t>C-SCAPE</w:t>
            </w: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>(α</w:t>
            </w:r>
            <w:proofErr w:type="spellStart"/>
            <w:r w:rsidRPr="00DA7F56">
              <w:rPr>
                <w:rFonts w:ascii="Arial" w:hAnsi="Arial" w:cs="Arial"/>
              </w:rPr>
              <w:t>νοιχτής</w:t>
            </w:r>
            <w:proofErr w:type="spellEnd"/>
            <w:r w:rsidRPr="00DA7F56">
              <w:rPr>
                <w:rFonts w:ascii="Arial" w:hAnsi="Arial" w:cs="Arial"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</w:rPr>
              <w:t>σήμ</w:t>
            </w:r>
            <w:proofErr w:type="spellEnd"/>
            <w:r w:rsidRPr="00DA7F56">
              <w:rPr>
                <w:rFonts w:ascii="Arial" w:hAnsi="Arial" w:cs="Arial"/>
              </w:rPr>
              <w:t>ανσης)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4 ή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6 </w:t>
            </w:r>
            <w:r w:rsidRPr="00DA7F56">
              <w:rPr>
                <w:rFonts w:ascii="Arial" w:hAnsi="Arial" w:cs="Arial"/>
              </w:rPr>
              <w:t>TN</w:t>
            </w:r>
            <w:r w:rsidRPr="00710DDF">
              <w:rPr>
                <w:rFonts w:ascii="Arial" w:hAnsi="Arial" w:cs="Arial"/>
                <w:lang w:val="el-GR"/>
              </w:rPr>
              <w:t xml:space="preserve"> χωρίς κίρρωση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* για 12 εβδομάδες (Ν=14)</w:t>
            </w: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* και </w:t>
            </w:r>
            <w:r w:rsidRPr="00DA7F56">
              <w:rPr>
                <w:rFonts w:ascii="Arial" w:hAnsi="Arial" w:cs="Arial"/>
              </w:rPr>
              <w:t>ribavirin</w:t>
            </w:r>
            <w:r w:rsidRPr="00710DDF">
              <w:rPr>
                <w:rFonts w:ascii="Arial" w:hAnsi="Arial" w:cs="Arial"/>
                <w:lang w:val="el-GR"/>
              </w:rPr>
              <w:t>** για 12 εβδομάδες (Ν=14)</w:t>
            </w:r>
          </w:p>
        </w:tc>
      </w:tr>
      <w:tr w:rsidR="00710DDF" w:rsidRPr="00710DDF" w:rsidTr="00CF1795">
        <w:tc>
          <w:tcPr>
            <w:tcW w:w="1555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i/>
                <w:lang w:val="el-GR"/>
              </w:rPr>
            </w:pPr>
            <w:r w:rsidRPr="00DA7F56">
              <w:rPr>
                <w:rFonts w:ascii="Arial" w:hAnsi="Arial" w:cs="Arial"/>
                <w:i/>
              </w:rPr>
              <w:t>C</w:t>
            </w:r>
            <w:r w:rsidRPr="00710DDF">
              <w:rPr>
                <w:rFonts w:ascii="Arial" w:hAnsi="Arial" w:cs="Arial"/>
                <w:i/>
                <w:lang w:val="el-GR"/>
              </w:rPr>
              <w:t>-</w:t>
            </w:r>
            <w:r w:rsidRPr="00DA7F56">
              <w:rPr>
                <w:rFonts w:ascii="Arial" w:hAnsi="Arial" w:cs="Arial"/>
                <w:i/>
              </w:rPr>
              <w:t>EDGE</w:t>
            </w:r>
            <w:r w:rsidRPr="00710DDF">
              <w:rPr>
                <w:rFonts w:ascii="Arial" w:hAnsi="Arial" w:cs="Arial"/>
                <w:i/>
                <w:lang w:val="el-GR"/>
              </w:rPr>
              <w:t xml:space="preserve"> </w:t>
            </w:r>
            <w:r w:rsidRPr="00DA7F56">
              <w:rPr>
                <w:rFonts w:ascii="Arial" w:hAnsi="Arial" w:cs="Arial"/>
                <w:i/>
              </w:rPr>
              <w:t>TE</w:t>
            </w: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>(ανοιχτής σήμανσης)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1,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4 ή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6 </w:t>
            </w:r>
            <w:r w:rsidRPr="00DA7F56">
              <w:rPr>
                <w:rFonts w:ascii="Arial" w:hAnsi="Arial" w:cs="Arial"/>
              </w:rPr>
              <w:t>TE</w:t>
            </w:r>
            <w:r w:rsidRPr="00710DDF">
              <w:rPr>
                <w:rFonts w:ascii="Arial" w:hAnsi="Arial" w:cs="Arial"/>
                <w:lang w:val="el-GR"/>
              </w:rPr>
              <w:t xml:space="preserve"> +/- κίρρωση και +/- </w:t>
            </w:r>
            <w:proofErr w:type="spellStart"/>
            <w:r w:rsidRPr="00710DDF">
              <w:rPr>
                <w:rFonts w:ascii="Arial" w:hAnsi="Arial" w:cs="Arial"/>
                <w:lang w:val="el-GR"/>
              </w:rPr>
              <w:t>συννοσηρότητα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</w:t>
            </w:r>
            <w:r w:rsidRPr="00DA7F56">
              <w:rPr>
                <w:rFonts w:ascii="Arial" w:hAnsi="Arial" w:cs="Arial"/>
              </w:rPr>
              <w:t>HCV</w:t>
            </w:r>
            <w:r w:rsidRPr="00710DDF">
              <w:rPr>
                <w:rFonts w:ascii="Arial" w:hAnsi="Arial" w:cs="Arial"/>
                <w:lang w:val="el-GR"/>
              </w:rPr>
              <w:t>/</w:t>
            </w:r>
            <w:r w:rsidRPr="00DA7F56">
              <w:rPr>
                <w:rFonts w:ascii="Arial" w:hAnsi="Arial" w:cs="Arial"/>
              </w:rPr>
              <w:t>HIV</w:t>
            </w:r>
            <w:r w:rsidRPr="00710DDF">
              <w:rPr>
                <w:rFonts w:ascii="Arial" w:hAnsi="Arial" w:cs="Arial"/>
                <w:lang w:val="el-GR"/>
              </w:rPr>
              <w:t>-1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για 12 ή 16 εβδομάδες (Ν=105 και 105, αντίστοιχα)</w:t>
            </w: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και </w:t>
            </w:r>
            <w:r w:rsidRPr="00DA7F56">
              <w:rPr>
                <w:rFonts w:ascii="Arial" w:hAnsi="Arial" w:cs="Arial"/>
              </w:rPr>
              <w:t>ribavirin</w:t>
            </w:r>
            <w:r w:rsidRPr="00710DDF">
              <w:rPr>
                <w:rFonts w:ascii="Arial" w:hAnsi="Arial" w:cs="Arial"/>
                <w:lang w:val="el-GR"/>
              </w:rPr>
              <w:t>** για 12 ή 16 εβδομάδες (Ν=104 και 106, αντίστοιχα)</w:t>
            </w:r>
          </w:p>
        </w:tc>
      </w:tr>
      <w:tr w:rsidR="00710DDF" w:rsidRPr="00710DDF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  <w:i/>
              </w:rPr>
              <w:t>C-SALVAGE</w:t>
            </w:r>
            <w:r w:rsidRPr="00DA7F56">
              <w:rPr>
                <w:rFonts w:ascii="Arial" w:hAnsi="Arial" w:cs="Arial"/>
              </w:rPr>
              <w:t xml:space="preserve"> (α</w:t>
            </w:r>
            <w:proofErr w:type="spellStart"/>
            <w:r w:rsidRPr="00DA7F56">
              <w:rPr>
                <w:rFonts w:ascii="Arial" w:hAnsi="Arial" w:cs="Arial"/>
              </w:rPr>
              <w:t>νοιχτής</w:t>
            </w:r>
            <w:proofErr w:type="spellEnd"/>
            <w:r w:rsidRPr="00DA7F56">
              <w:rPr>
                <w:rFonts w:ascii="Arial" w:hAnsi="Arial" w:cs="Arial"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</w:rPr>
              <w:t>σήμ</w:t>
            </w:r>
            <w:proofErr w:type="spellEnd"/>
            <w:r w:rsidRPr="00DA7F56">
              <w:rPr>
                <w:rFonts w:ascii="Arial" w:hAnsi="Arial" w:cs="Arial"/>
              </w:rPr>
              <w:t>ανσης)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1 </w:t>
            </w:r>
            <w:r w:rsidRPr="00DA7F56">
              <w:rPr>
                <w:rFonts w:ascii="Arial" w:hAnsi="Arial" w:cs="Arial"/>
              </w:rPr>
              <w:t>TE</w:t>
            </w:r>
            <w:r w:rsidRPr="00710DDF">
              <w:rPr>
                <w:rFonts w:ascii="Arial" w:hAnsi="Arial" w:cs="Arial"/>
                <w:lang w:val="el-GR"/>
              </w:rPr>
              <w:t xml:space="preserve"> με σχήμα αναστολέα </w:t>
            </w:r>
            <w:proofErr w:type="spellStart"/>
            <w:r w:rsidRPr="00710DDF">
              <w:rPr>
                <w:rFonts w:ascii="Arial" w:hAnsi="Arial" w:cs="Arial"/>
                <w:lang w:val="el-GR"/>
              </w:rPr>
              <w:t>πρωτεάσης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</w:t>
            </w:r>
            <w:r w:rsidRPr="00DA7F56">
              <w:rPr>
                <w:rFonts w:ascii="Arial" w:hAnsi="Arial" w:cs="Arial"/>
              </w:rPr>
              <w:t>HCV</w:t>
            </w:r>
            <w:r w:rsidRPr="00710DDF">
              <w:rPr>
                <w:rFonts w:ascii="Arial" w:hAnsi="Arial" w:cs="Arial"/>
                <w:lang w:val="el-GR"/>
              </w:rPr>
              <w:t>*** +/- κίρρωση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* και </w:t>
            </w:r>
            <w:r w:rsidRPr="00DA7F56">
              <w:rPr>
                <w:rFonts w:ascii="Arial" w:hAnsi="Arial" w:cs="Arial"/>
              </w:rPr>
              <w:t>ribavirin</w:t>
            </w:r>
            <w:r w:rsidRPr="00710DDF">
              <w:rPr>
                <w:rFonts w:ascii="Arial" w:hAnsi="Arial" w:cs="Arial"/>
                <w:lang w:val="el-GR"/>
              </w:rPr>
              <w:t>** για 12 εβδομάδες (Ν=79)</w:t>
            </w:r>
          </w:p>
        </w:tc>
      </w:tr>
      <w:tr w:rsidR="00710DDF" w:rsidRPr="00DA7F56" w:rsidTr="00CF1795">
        <w:tc>
          <w:tcPr>
            <w:tcW w:w="1555" w:type="dxa"/>
          </w:tcPr>
          <w:p w:rsidR="00710DDF" w:rsidRPr="00DA7F56" w:rsidRDefault="00710DDF" w:rsidP="00CF1795">
            <w:pPr>
              <w:jc w:val="both"/>
              <w:rPr>
                <w:rFonts w:ascii="Arial" w:hAnsi="Arial" w:cs="Arial"/>
                <w:i/>
              </w:rPr>
            </w:pPr>
            <w:r w:rsidRPr="00DA7F56">
              <w:rPr>
                <w:rFonts w:ascii="Arial" w:hAnsi="Arial" w:cs="Arial"/>
                <w:i/>
              </w:rPr>
              <w:t xml:space="preserve">C-EDGE </w:t>
            </w: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  <w:i/>
              </w:rPr>
            </w:pPr>
            <w:r w:rsidRPr="00DA7F56">
              <w:rPr>
                <w:rFonts w:ascii="Arial" w:hAnsi="Arial" w:cs="Arial"/>
                <w:i/>
              </w:rPr>
              <w:t>CO-STAR</w:t>
            </w: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>(</w:t>
            </w:r>
            <w:proofErr w:type="spellStart"/>
            <w:r w:rsidRPr="00DA7F56">
              <w:rPr>
                <w:rFonts w:ascii="Arial" w:hAnsi="Arial" w:cs="Arial"/>
              </w:rPr>
              <w:t>δι</w:t>
            </w:r>
            <w:proofErr w:type="spellEnd"/>
            <w:r w:rsidRPr="00DA7F56">
              <w:rPr>
                <w:rFonts w:ascii="Arial" w:hAnsi="Arial" w:cs="Arial"/>
              </w:rPr>
              <w:t xml:space="preserve">πλά </w:t>
            </w:r>
            <w:proofErr w:type="spellStart"/>
            <w:r w:rsidRPr="00DA7F56">
              <w:rPr>
                <w:rFonts w:ascii="Arial" w:hAnsi="Arial" w:cs="Arial"/>
              </w:rPr>
              <w:t>τυφλή</w:t>
            </w:r>
            <w:proofErr w:type="spellEnd"/>
            <w:r w:rsidRPr="00DA7F56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1,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4 ή </w:t>
            </w:r>
            <w:r w:rsidRPr="00DA7F56">
              <w:rPr>
                <w:rFonts w:ascii="Arial" w:hAnsi="Arial" w:cs="Arial"/>
              </w:rPr>
              <w:t>GT</w:t>
            </w:r>
            <w:r w:rsidRPr="00710DDF">
              <w:rPr>
                <w:rFonts w:ascii="Arial" w:hAnsi="Arial" w:cs="Arial"/>
                <w:lang w:val="el-GR"/>
              </w:rPr>
              <w:t xml:space="preserve">6 </w:t>
            </w:r>
            <w:r w:rsidRPr="00DA7F56">
              <w:rPr>
                <w:rFonts w:ascii="Arial" w:hAnsi="Arial" w:cs="Arial"/>
              </w:rPr>
              <w:t>TN</w:t>
            </w:r>
            <w:r w:rsidRPr="00710DDF">
              <w:rPr>
                <w:rFonts w:ascii="Arial" w:hAnsi="Arial" w:cs="Arial"/>
                <w:lang w:val="el-GR"/>
              </w:rPr>
              <w:t xml:space="preserve"> σε θεραπεία υποκατάστασης με </w:t>
            </w:r>
            <w:proofErr w:type="spellStart"/>
            <w:r w:rsidRPr="00710DDF">
              <w:rPr>
                <w:rFonts w:ascii="Arial" w:hAnsi="Arial" w:cs="Arial"/>
                <w:lang w:val="el-GR"/>
              </w:rPr>
              <w:t>οπιοειδή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, +/- κίρρωση</w:t>
            </w:r>
          </w:p>
        </w:tc>
        <w:tc>
          <w:tcPr>
            <w:tcW w:w="4757" w:type="dxa"/>
          </w:tcPr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  <w:r w:rsidRPr="00710DDF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elbasvir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DA7F56">
              <w:rPr>
                <w:rFonts w:ascii="Arial" w:hAnsi="Arial" w:cs="Arial"/>
              </w:rPr>
              <w:t>grazoprevir</w:t>
            </w:r>
            <w:proofErr w:type="spellEnd"/>
            <w:r w:rsidRPr="00710DDF">
              <w:rPr>
                <w:rFonts w:ascii="Arial" w:hAnsi="Arial" w:cs="Arial"/>
                <w:lang w:val="el-GR"/>
              </w:rPr>
              <w:t xml:space="preserve"> για 12 εβδομάδες (Ν=201)</w:t>
            </w:r>
          </w:p>
          <w:p w:rsidR="00710DDF" w:rsidRPr="00710DDF" w:rsidRDefault="00710DDF" w:rsidP="00CF179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710DDF" w:rsidRPr="00DA7F56" w:rsidRDefault="00710DDF" w:rsidP="00CF1795">
            <w:pPr>
              <w:jc w:val="both"/>
              <w:rPr>
                <w:rFonts w:ascii="Arial" w:hAnsi="Arial" w:cs="Arial"/>
              </w:rPr>
            </w:pPr>
            <w:r w:rsidRPr="00DA7F56">
              <w:rPr>
                <w:rFonts w:ascii="Arial" w:hAnsi="Arial" w:cs="Arial"/>
              </w:rPr>
              <w:t xml:space="preserve">- </w:t>
            </w:r>
            <w:proofErr w:type="spellStart"/>
            <w:r w:rsidRPr="00DA7F56">
              <w:rPr>
                <w:rFonts w:ascii="Arial" w:hAnsi="Arial" w:cs="Arial"/>
              </w:rPr>
              <w:t>Εικονικό</w:t>
            </w:r>
            <w:proofErr w:type="spellEnd"/>
            <w:r w:rsidRPr="00DA7F56">
              <w:rPr>
                <w:rFonts w:ascii="Arial" w:hAnsi="Arial" w:cs="Arial"/>
              </w:rPr>
              <w:t xml:space="preserve"> </w:t>
            </w:r>
            <w:proofErr w:type="spellStart"/>
            <w:r w:rsidRPr="00DA7F56">
              <w:rPr>
                <w:rFonts w:ascii="Arial" w:hAnsi="Arial" w:cs="Arial"/>
              </w:rPr>
              <w:t>γι</w:t>
            </w:r>
            <w:proofErr w:type="spellEnd"/>
            <w:r w:rsidRPr="00DA7F56">
              <w:rPr>
                <w:rFonts w:ascii="Arial" w:hAnsi="Arial" w:cs="Arial"/>
              </w:rPr>
              <w:t>α 12 εβ</w:t>
            </w:r>
            <w:proofErr w:type="spellStart"/>
            <w:r w:rsidRPr="00DA7F56">
              <w:rPr>
                <w:rFonts w:ascii="Arial" w:hAnsi="Arial" w:cs="Arial"/>
              </w:rPr>
              <w:t>δομάδες</w:t>
            </w:r>
            <w:proofErr w:type="spellEnd"/>
            <w:r w:rsidRPr="00DA7F56">
              <w:rPr>
                <w:rFonts w:ascii="Arial" w:hAnsi="Arial" w:cs="Arial"/>
              </w:rPr>
              <w:t xml:space="preserve"> (Ν=100)</w:t>
            </w:r>
          </w:p>
        </w:tc>
      </w:tr>
    </w:tbl>
    <w:p w:rsidR="00710DDF" w:rsidRPr="00DA7F56" w:rsidRDefault="00710DDF" w:rsidP="00710DDF">
      <w:pPr>
        <w:jc w:val="both"/>
        <w:rPr>
          <w:rFonts w:ascii="Arial" w:hAnsi="Arial" w:cs="Arial"/>
          <w:sz w:val="18"/>
        </w:rPr>
      </w:pPr>
      <w:r w:rsidRPr="00DA7F56">
        <w:rPr>
          <w:rFonts w:ascii="Arial" w:hAnsi="Arial" w:cs="Arial"/>
          <w:sz w:val="18"/>
        </w:rPr>
        <w:t xml:space="preserve">GT = </w:t>
      </w:r>
      <w:proofErr w:type="spellStart"/>
      <w:r w:rsidRPr="00DA7F56">
        <w:rPr>
          <w:rFonts w:ascii="Arial" w:hAnsi="Arial" w:cs="Arial"/>
          <w:sz w:val="18"/>
        </w:rPr>
        <w:t>γονότυ</w:t>
      </w:r>
      <w:proofErr w:type="spellEnd"/>
      <w:r w:rsidRPr="00DA7F56">
        <w:rPr>
          <w:rFonts w:ascii="Arial" w:hAnsi="Arial" w:cs="Arial"/>
          <w:sz w:val="18"/>
        </w:rPr>
        <w:t>πος</w:t>
      </w:r>
    </w:p>
    <w:p w:rsidR="00710DDF" w:rsidRPr="00DA7F56" w:rsidRDefault="00710DDF" w:rsidP="00710DDF">
      <w:pPr>
        <w:jc w:val="both"/>
        <w:rPr>
          <w:rFonts w:ascii="Arial" w:hAnsi="Arial" w:cs="Arial"/>
          <w:sz w:val="18"/>
        </w:rPr>
      </w:pPr>
      <w:r w:rsidRPr="00DA7F56">
        <w:rPr>
          <w:rFonts w:ascii="Arial" w:hAnsi="Arial" w:cs="Arial"/>
          <w:sz w:val="18"/>
        </w:rPr>
        <w:t>ΤΝ = π</w:t>
      </w:r>
      <w:proofErr w:type="spellStart"/>
      <w:r w:rsidRPr="00DA7F56">
        <w:rPr>
          <w:rFonts w:ascii="Arial" w:hAnsi="Arial" w:cs="Arial"/>
          <w:sz w:val="18"/>
        </w:rPr>
        <w:t>ρωτοθερ</w:t>
      </w:r>
      <w:proofErr w:type="spellEnd"/>
      <w:r w:rsidRPr="00DA7F56">
        <w:rPr>
          <w:rFonts w:ascii="Arial" w:hAnsi="Arial" w:cs="Arial"/>
          <w:sz w:val="18"/>
        </w:rPr>
        <w:t>απευόμενοι</w:t>
      </w:r>
    </w:p>
    <w:p w:rsidR="00710DDF" w:rsidRPr="00710DDF" w:rsidRDefault="00710DDF" w:rsidP="00710DDF">
      <w:pPr>
        <w:jc w:val="both"/>
        <w:rPr>
          <w:rFonts w:ascii="Arial" w:hAnsi="Arial" w:cs="Arial"/>
          <w:sz w:val="18"/>
          <w:lang w:val="el-GR"/>
        </w:rPr>
      </w:pPr>
      <w:r w:rsidRPr="00710DDF">
        <w:rPr>
          <w:rFonts w:ascii="Arial" w:hAnsi="Arial" w:cs="Arial"/>
          <w:sz w:val="18"/>
          <w:lang w:val="el-GR"/>
        </w:rPr>
        <w:t xml:space="preserve">ΤΕ = που έχουν λάβει  θεραπεία (αποτυχία θεραπείας με </w:t>
      </w:r>
      <w:r w:rsidRPr="00DA7F56">
        <w:rPr>
          <w:rFonts w:ascii="Arial" w:hAnsi="Arial" w:cs="Arial"/>
          <w:sz w:val="18"/>
        </w:rPr>
        <w:t>interferon</w:t>
      </w:r>
      <w:r w:rsidRPr="00710DDF">
        <w:rPr>
          <w:rFonts w:ascii="Arial" w:hAnsi="Arial" w:cs="Arial"/>
          <w:sz w:val="18"/>
          <w:lang w:val="el-GR"/>
        </w:rPr>
        <w:t xml:space="preserve"> [</w:t>
      </w:r>
      <w:r w:rsidRPr="00DA7F56">
        <w:rPr>
          <w:rFonts w:ascii="Arial" w:hAnsi="Arial" w:cs="Arial"/>
          <w:sz w:val="18"/>
        </w:rPr>
        <w:t>IFN</w:t>
      </w:r>
      <w:r w:rsidRPr="00710DDF">
        <w:rPr>
          <w:rFonts w:ascii="Arial" w:hAnsi="Arial" w:cs="Arial"/>
          <w:sz w:val="18"/>
          <w:lang w:val="el-GR"/>
        </w:rPr>
        <w:t xml:space="preserve">] ή </w:t>
      </w:r>
      <w:proofErr w:type="spellStart"/>
      <w:r w:rsidRPr="00DA7F56">
        <w:rPr>
          <w:rFonts w:ascii="Arial" w:hAnsi="Arial" w:cs="Arial"/>
          <w:sz w:val="18"/>
        </w:rPr>
        <w:t>pegintereferon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 [</w:t>
      </w:r>
      <w:proofErr w:type="spellStart"/>
      <w:r w:rsidRPr="00DA7F56">
        <w:rPr>
          <w:rFonts w:ascii="Arial" w:hAnsi="Arial" w:cs="Arial"/>
          <w:sz w:val="18"/>
        </w:rPr>
        <w:t>pegIFN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] με ή χωρίς </w:t>
      </w:r>
      <w:r w:rsidRPr="00DA7F56">
        <w:rPr>
          <w:rFonts w:ascii="Arial" w:hAnsi="Arial" w:cs="Arial"/>
          <w:sz w:val="18"/>
        </w:rPr>
        <w:t>ribavirin</w:t>
      </w:r>
      <w:r w:rsidRPr="00710DDF">
        <w:rPr>
          <w:rFonts w:ascii="Arial" w:hAnsi="Arial" w:cs="Arial"/>
          <w:sz w:val="18"/>
          <w:lang w:val="el-GR"/>
        </w:rPr>
        <w:t xml:space="preserve"> ή με δυσανεξία σε προηγούμενες θεραπείες)</w:t>
      </w:r>
    </w:p>
    <w:p w:rsidR="00710DDF" w:rsidRPr="00710DDF" w:rsidRDefault="00710DDF" w:rsidP="00710DDF">
      <w:pPr>
        <w:jc w:val="both"/>
        <w:rPr>
          <w:rFonts w:ascii="Arial" w:hAnsi="Arial" w:cs="Arial"/>
          <w:sz w:val="18"/>
          <w:lang w:val="el-GR"/>
        </w:rPr>
      </w:pPr>
      <w:r w:rsidRPr="00DA7F56">
        <w:rPr>
          <w:rFonts w:ascii="Arial" w:hAnsi="Arial" w:cs="Arial"/>
          <w:sz w:val="18"/>
        </w:rPr>
        <w:t>PK</w:t>
      </w:r>
      <w:r w:rsidRPr="00710DDF">
        <w:rPr>
          <w:rFonts w:ascii="Arial" w:hAnsi="Arial" w:cs="Arial"/>
          <w:sz w:val="18"/>
          <w:lang w:val="el-GR"/>
        </w:rPr>
        <w:t xml:space="preserve"> = </w:t>
      </w:r>
      <w:proofErr w:type="spellStart"/>
      <w:r w:rsidRPr="00710DDF">
        <w:rPr>
          <w:rFonts w:ascii="Arial" w:hAnsi="Arial" w:cs="Arial"/>
          <w:sz w:val="18"/>
          <w:lang w:val="el-GR"/>
        </w:rPr>
        <w:t>φαρμακοκινητική</w:t>
      </w:r>
      <w:proofErr w:type="spellEnd"/>
    </w:p>
    <w:p w:rsidR="00710DDF" w:rsidRPr="00710DDF" w:rsidRDefault="00710DDF" w:rsidP="00710DDF">
      <w:pPr>
        <w:jc w:val="both"/>
        <w:rPr>
          <w:rFonts w:ascii="Arial" w:hAnsi="Arial" w:cs="Arial"/>
          <w:sz w:val="18"/>
          <w:lang w:val="el-GR"/>
        </w:rPr>
      </w:pPr>
      <w:r w:rsidRPr="00710DDF">
        <w:rPr>
          <w:rFonts w:ascii="Arial" w:hAnsi="Arial" w:cs="Arial"/>
          <w:sz w:val="18"/>
          <w:lang w:val="el-GR"/>
        </w:rPr>
        <w:t>*</w:t>
      </w:r>
      <w:proofErr w:type="spellStart"/>
      <w:r w:rsidRPr="00DA7F56">
        <w:rPr>
          <w:rFonts w:ascii="Arial" w:hAnsi="Arial" w:cs="Arial"/>
          <w:sz w:val="18"/>
        </w:rPr>
        <w:t>elbasvir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 50</w:t>
      </w:r>
      <w:r w:rsidRPr="00DA7F56">
        <w:rPr>
          <w:rFonts w:ascii="Arial" w:hAnsi="Arial" w:cs="Arial"/>
          <w:sz w:val="18"/>
        </w:rPr>
        <w:t>mg</w:t>
      </w:r>
      <w:r w:rsidRPr="00710DDF">
        <w:rPr>
          <w:rFonts w:ascii="Arial" w:hAnsi="Arial" w:cs="Arial"/>
          <w:sz w:val="18"/>
          <w:lang w:val="el-GR"/>
        </w:rPr>
        <w:t xml:space="preserve"> + </w:t>
      </w:r>
      <w:proofErr w:type="spellStart"/>
      <w:r w:rsidRPr="00DA7F56">
        <w:rPr>
          <w:rFonts w:ascii="Arial" w:hAnsi="Arial" w:cs="Arial"/>
          <w:sz w:val="18"/>
        </w:rPr>
        <w:t>grazoprevir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 100</w:t>
      </w:r>
      <w:r w:rsidRPr="00DA7F56">
        <w:rPr>
          <w:rFonts w:ascii="Arial" w:hAnsi="Arial" w:cs="Arial"/>
          <w:sz w:val="18"/>
        </w:rPr>
        <w:t>mg</w:t>
      </w:r>
      <w:r w:rsidRPr="00710DDF">
        <w:rPr>
          <w:rFonts w:ascii="Arial" w:hAnsi="Arial" w:cs="Arial"/>
          <w:sz w:val="18"/>
          <w:lang w:val="el-GR"/>
        </w:rPr>
        <w:t xml:space="preserve">, </w:t>
      </w:r>
      <w:proofErr w:type="spellStart"/>
      <w:r w:rsidRPr="00710DDF">
        <w:rPr>
          <w:rFonts w:ascii="Arial" w:hAnsi="Arial" w:cs="Arial"/>
          <w:sz w:val="18"/>
          <w:lang w:val="el-GR"/>
        </w:rPr>
        <w:t>συγχορηγούμενα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 ξεχωριστά</w:t>
      </w:r>
    </w:p>
    <w:p w:rsidR="00710DDF" w:rsidRPr="00710DDF" w:rsidRDefault="00710DDF" w:rsidP="00710DDF">
      <w:pPr>
        <w:jc w:val="both"/>
        <w:rPr>
          <w:rFonts w:ascii="Arial" w:hAnsi="Arial" w:cs="Arial"/>
          <w:sz w:val="18"/>
          <w:lang w:val="el-GR"/>
        </w:rPr>
      </w:pPr>
      <w:r w:rsidRPr="00710DDF">
        <w:rPr>
          <w:rFonts w:ascii="Arial" w:hAnsi="Arial" w:cs="Arial"/>
          <w:sz w:val="18"/>
          <w:lang w:val="el-GR"/>
        </w:rPr>
        <w:t xml:space="preserve">**Το </w:t>
      </w:r>
      <w:r w:rsidRPr="00DA7F56">
        <w:rPr>
          <w:rFonts w:ascii="Arial" w:hAnsi="Arial" w:cs="Arial"/>
          <w:sz w:val="18"/>
        </w:rPr>
        <w:t>ribavirin</w:t>
      </w:r>
      <w:r w:rsidRPr="00710DDF">
        <w:rPr>
          <w:rFonts w:ascii="Arial" w:hAnsi="Arial" w:cs="Arial"/>
          <w:sz w:val="18"/>
          <w:lang w:val="el-GR"/>
        </w:rPr>
        <w:t xml:space="preserve"> χορηγήθηκε σε συνολική ημερήσια δόση 800 έως 1.400 </w:t>
      </w:r>
      <w:r w:rsidRPr="00DA7F56">
        <w:rPr>
          <w:rFonts w:ascii="Arial" w:hAnsi="Arial" w:cs="Arial"/>
          <w:sz w:val="18"/>
        </w:rPr>
        <w:t>mg</w:t>
      </w:r>
      <w:r w:rsidRPr="00710DDF">
        <w:rPr>
          <w:rFonts w:ascii="Arial" w:hAnsi="Arial" w:cs="Arial"/>
          <w:sz w:val="18"/>
          <w:lang w:val="el-GR"/>
        </w:rPr>
        <w:t>, ανάλογα με το σωματικό βάρος</w:t>
      </w:r>
    </w:p>
    <w:p w:rsidR="00710DDF" w:rsidRPr="00710DDF" w:rsidRDefault="00710DDF" w:rsidP="00710DDF">
      <w:pPr>
        <w:jc w:val="both"/>
        <w:rPr>
          <w:rFonts w:ascii="Arial" w:hAnsi="Arial" w:cs="Arial"/>
          <w:sz w:val="18"/>
          <w:lang w:val="el-GR"/>
        </w:rPr>
      </w:pPr>
      <w:r w:rsidRPr="00710DDF">
        <w:rPr>
          <w:rFonts w:ascii="Arial" w:hAnsi="Arial" w:cs="Arial"/>
          <w:sz w:val="18"/>
          <w:lang w:val="el-GR"/>
        </w:rPr>
        <w:t xml:space="preserve">***Αποτυχία προηγούμενης θεραπείας με </w:t>
      </w:r>
      <w:proofErr w:type="spellStart"/>
      <w:r w:rsidRPr="00DA7F56">
        <w:rPr>
          <w:rFonts w:ascii="Arial" w:hAnsi="Arial" w:cs="Arial"/>
          <w:sz w:val="18"/>
        </w:rPr>
        <w:t>boceprevir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, </w:t>
      </w:r>
      <w:proofErr w:type="spellStart"/>
      <w:r w:rsidRPr="00DA7F56">
        <w:rPr>
          <w:rFonts w:ascii="Arial" w:hAnsi="Arial" w:cs="Arial"/>
          <w:sz w:val="18"/>
        </w:rPr>
        <w:t>telaprevir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 ή </w:t>
      </w:r>
      <w:proofErr w:type="spellStart"/>
      <w:r w:rsidRPr="00DA7F56">
        <w:rPr>
          <w:rFonts w:ascii="Arial" w:hAnsi="Arial" w:cs="Arial"/>
          <w:sz w:val="18"/>
        </w:rPr>
        <w:t>simeprevir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 σε συνδυασμό με </w:t>
      </w:r>
      <w:proofErr w:type="spellStart"/>
      <w:r w:rsidRPr="00DA7F56">
        <w:rPr>
          <w:rFonts w:ascii="Arial" w:hAnsi="Arial" w:cs="Arial"/>
          <w:sz w:val="18"/>
        </w:rPr>
        <w:t>pegIFN</w:t>
      </w:r>
      <w:proofErr w:type="spellEnd"/>
      <w:r w:rsidRPr="00710DDF">
        <w:rPr>
          <w:rFonts w:ascii="Arial" w:hAnsi="Arial" w:cs="Arial"/>
          <w:sz w:val="18"/>
          <w:lang w:val="el-GR"/>
        </w:rPr>
        <w:t xml:space="preserve"> και </w:t>
      </w:r>
      <w:r w:rsidRPr="00DA7F56">
        <w:rPr>
          <w:rFonts w:ascii="Arial" w:hAnsi="Arial" w:cs="Arial"/>
          <w:sz w:val="18"/>
        </w:rPr>
        <w:t>ribavirin</w:t>
      </w: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776811" w:rsidRPr="00776811" w:rsidRDefault="00776811" w:rsidP="00776811">
      <w:pPr>
        <w:jc w:val="both"/>
        <w:rPr>
          <w:rFonts w:ascii="Arial" w:hAnsi="Arial" w:cs="Arial"/>
          <w:lang w:val="el-GR"/>
        </w:rPr>
      </w:pPr>
    </w:p>
    <w:p w:rsidR="00DC6473" w:rsidRPr="00E6032A" w:rsidRDefault="00DC6473" w:rsidP="00886BF4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val="el-GR"/>
        </w:rPr>
      </w:pPr>
    </w:p>
    <w:sectPr w:rsidR="00DC6473" w:rsidRPr="00E60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D"/>
    <w:rsid w:val="000403FA"/>
    <w:rsid w:val="000755FB"/>
    <w:rsid w:val="000E7968"/>
    <w:rsid w:val="000E7D3E"/>
    <w:rsid w:val="00191685"/>
    <w:rsid w:val="001B10D8"/>
    <w:rsid w:val="001B7967"/>
    <w:rsid w:val="001F4E86"/>
    <w:rsid w:val="0021408A"/>
    <w:rsid w:val="0021738B"/>
    <w:rsid w:val="00263386"/>
    <w:rsid w:val="00296B76"/>
    <w:rsid w:val="002D60A9"/>
    <w:rsid w:val="002F6BDC"/>
    <w:rsid w:val="00310B94"/>
    <w:rsid w:val="00335E78"/>
    <w:rsid w:val="003A2678"/>
    <w:rsid w:val="003E1ECF"/>
    <w:rsid w:val="003E36CD"/>
    <w:rsid w:val="003E6D90"/>
    <w:rsid w:val="00452A8A"/>
    <w:rsid w:val="0046459D"/>
    <w:rsid w:val="00474A9D"/>
    <w:rsid w:val="004827AB"/>
    <w:rsid w:val="0048448F"/>
    <w:rsid w:val="004B272D"/>
    <w:rsid w:val="004C12FA"/>
    <w:rsid w:val="004C30DE"/>
    <w:rsid w:val="004D3D40"/>
    <w:rsid w:val="00502251"/>
    <w:rsid w:val="00551F31"/>
    <w:rsid w:val="005606A2"/>
    <w:rsid w:val="00604A22"/>
    <w:rsid w:val="00620AF5"/>
    <w:rsid w:val="00655D26"/>
    <w:rsid w:val="00655F9E"/>
    <w:rsid w:val="006C3A15"/>
    <w:rsid w:val="006C71CE"/>
    <w:rsid w:val="006D1233"/>
    <w:rsid w:val="00710DDF"/>
    <w:rsid w:val="00776811"/>
    <w:rsid w:val="00786231"/>
    <w:rsid w:val="00796FED"/>
    <w:rsid w:val="007D26F1"/>
    <w:rsid w:val="007E0268"/>
    <w:rsid w:val="007F577C"/>
    <w:rsid w:val="00822A1A"/>
    <w:rsid w:val="008357B2"/>
    <w:rsid w:val="00837619"/>
    <w:rsid w:val="008623EF"/>
    <w:rsid w:val="00874ABD"/>
    <w:rsid w:val="008854F3"/>
    <w:rsid w:val="00886BF4"/>
    <w:rsid w:val="008A129F"/>
    <w:rsid w:val="008A5983"/>
    <w:rsid w:val="0090197A"/>
    <w:rsid w:val="00903121"/>
    <w:rsid w:val="0090625C"/>
    <w:rsid w:val="00910245"/>
    <w:rsid w:val="009D0CB3"/>
    <w:rsid w:val="009D7111"/>
    <w:rsid w:val="00A0572A"/>
    <w:rsid w:val="00A73535"/>
    <w:rsid w:val="00AC7A2D"/>
    <w:rsid w:val="00AF0276"/>
    <w:rsid w:val="00B276D2"/>
    <w:rsid w:val="00B31F5C"/>
    <w:rsid w:val="00B40155"/>
    <w:rsid w:val="00B9583C"/>
    <w:rsid w:val="00BA0B83"/>
    <w:rsid w:val="00BD637A"/>
    <w:rsid w:val="00C14F05"/>
    <w:rsid w:val="00C53917"/>
    <w:rsid w:val="00C75FDC"/>
    <w:rsid w:val="00CA0118"/>
    <w:rsid w:val="00CB044A"/>
    <w:rsid w:val="00CB3011"/>
    <w:rsid w:val="00CE24B2"/>
    <w:rsid w:val="00CE37B6"/>
    <w:rsid w:val="00D178F1"/>
    <w:rsid w:val="00D2278F"/>
    <w:rsid w:val="00D67459"/>
    <w:rsid w:val="00DC1739"/>
    <w:rsid w:val="00DC6473"/>
    <w:rsid w:val="00DF4118"/>
    <w:rsid w:val="00E01464"/>
    <w:rsid w:val="00E5103A"/>
    <w:rsid w:val="00E52236"/>
    <w:rsid w:val="00E535DA"/>
    <w:rsid w:val="00E6032A"/>
    <w:rsid w:val="00EA6BC5"/>
    <w:rsid w:val="00EA76E7"/>
    <w:rsid w:val="00F069F7"/>
    <w:rsid w:val="00F407D2"/>
    <w:rsid w:val="00F601A1"/>
    <w:rsid w:val="00F8038F"/>
    <w:rsid w:val="00F85068"/>
    <w:rsid w:val="00F965A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74ABD"/>
    <w:rPr>
      <w:color w:val="0000FF"/>
      <w:u w:val="single"/>
    </w:rPr>
  </w:style>
  <w:style w:type="paragraph" w:customStyle="1" w:styleId="Default">
    <w:name w:val="Default"/>
    <w:rsid w:val="00874A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874AB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Web">
    <w:name w:val="Normal (Web)"/>
    <w:basedOn w:val="a"/>
    <w:uiPriority w:val="99"/>
    <w:rsid w:val="00786231"/>
    <w:pPr>
      <w:spacing w:before="100" w:beforeAutospacing="1" w:after="100" w:afterAutospacing="1"/>
    </w:pPr>
    <w:rPr>
      <w:rFonts w:eastAsia="Malgun Gothic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227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278F"/>
    <w:rPr>
      <w:rFonts w:ascii="Tahoma" w:eastAsia="Times New Roman" w:hAnsi="Tahoma" w:cs="Tahoma"/>
      <w:sz w:val="16"/>
      <w:szCs w:val="16"/>
      <w:lang w:val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910245"/>
    <w:rPr>
      <w:rFonts w:ascii="Consolas" w:hAnsi="Consolas" w:cs="Consolas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10245"/>
    <w:rPr>
      <w:rFonts w:ascii="Consolas" w:eastAsia="Times New Roman" w:hAnsi="Consolas" w:cs="Consolas"/>
      <w:sz w:val="20"/>
      <w:szCs w:val="20"/>
      <w:lang w:val="en-US"/>
    </w:rPr>
  </w:style>
  <w:style w:type="table" w:styleId="a4">
    <w:name w:val="Table Grid"/>
    <w:basedOn w:val="a1"/>
    <w:uiPriority w:val="39"/>
    <w:rsid w:val="00710DDF"/>
    <w:pPr>
      <w:spacing w:after="0" w:line="240" w:lineRule="auto"/>
    </w:pPr>
    <w:rPr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74ABD"/>
    <w:rPr>
      <w:color w:val="0000FF"/>
      <w:u w:val="single"/>
    </w:rPr>
  </w:style>
  <w:style w:type="paragraph" w:customStyle="1" w:styleId="Default">
    <w:name w:val="Default"/>
    <w:rsid w:val="00874A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874AB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Web">
    <w:name w:val="Normal (Web)"/>
    <w:basedOn w:val="a"/>
    <w:uiPriority w:val="99"/>
    <w:rsid w:val="00786231"/>
    <w:pPr>
      <w:spacing w:before="100" w:beforeAutospacing="1" w:after="100" w:afterAutospacing="1"/>
    </w:pPr>
    <w:rPr>
      <w:rFonts w:eastAsia="Malgun Gothic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227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278F"/>
    <w:rPr>
      <w:rFonts w:ascii="Tahoma" w:eastAsia="Times New Roman" w:hAnsi="Tahoma" w:cs="Tahoma"/>
      <w:sz w:val="16"/>
      <w:szCs w:val="16"/>
      <w:lang w:val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910245"/>
    <w:rPr>
      <w:rFonts w:ascii="Consolas" w:hAnsi="Consolas" w:cs="Consolas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10245"/>
    <w:rPr>
      <w:rFonts w:ascii="Consolas" w:eastAsia="Times New Roman" w:hAnsi="Consolas" w:cs="Consolas"/>
      <w:sz w:val="20"/>
      <w:szCs w:val="20"/>
      <w:lang w:val="en-US"/>
    </w:rPr>
  </w:style>
  <w:style w:type="table" w:styleId="a4">
    <w:name w:val="Table Grid"/>
    <w:basedOn w:val="a1"/>
    <w:uiPriority w:val="39"/>
    <w:rsid w:val="00710DDF"/>
    <w:pPr>
      <w:spacing w:after="0" w:line="240" w:lineRule="auto"/>
    </w:pPr>
    <w:rPr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kallia</cp:lastModifiedBy>
  <cp:revision>2</cp:revision>
  <cp:lastPrinted>2015-07-20T11:11:00Z</cp:lastPrinted>
  <dcterms:created xsi:type="dcterms:W3CDTF">2016-08-02T08:55:00Z</dcterms:created>
  <dcterms:modified xsi:type="dcterms:W3CDTF">2016-08-02T08:55:00Z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