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24"/>
        <w:spacing w:line="300" w:lineRule="atLeast"/>
        <w:contextualSpacing w:val="1"/>
        <w:ind w:left="0" w:hanging="0"/>
        <w:rPr>
          <w:b/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2"/>
          <w:b/>
          <w:color w:val="44546A"/>
          <w:sz w:val="46"/>
          <w:szCs w:val="46"/>
        </w:rPr>
        <w:t xml:space="preserve">           </w:t>
      </w:r>
      <w:r>
        <w:rPr>
          <w:rStyle w:val="Character0"/>
          <w:b/>
          <w:color w:val="44546A"/>
          <w:sz w:val="24"/>
          <w:szCs w:val="24"/>
        </w:rPr>
        <w:t xml:space="preserve">ΚΟΙΝΩΝΙΚΗ ΠΟΛΙΤΙΚΗ ΣΤΗΝ ΕΥΡΩΠΗ ΚΑΙ ΤΗΝ ΕΛΛΑΔ</w:t>
      </w:r>
    </w:p>
    <w:p>
      <w:pPr>
        <w:pStyle w:val="Para7"/>
        <w:spacing w:line="360" w:lineRule="auto" w:after="320"/>
        <w:contextualSpacing w:val="1"/>
        <w:ind w:left="0" w:hanging="0"/>
        <w:rPr>
          <w:i/>
          <w:sz w:val="24"/>
          <w:szCs w:val="24"/>
          <w:color w:val="5B9BD5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8"/>
          <w:i/>
          <w:color w:val="5B9BD5"/>
          <w:sz w:val="24"/>
          <w:szCs w:val="24"/>
        </w:rPr>
        <w:t xml:space="preserve">Ερωτήματα γύρω από την ουσία και τη χρησιμότητα του κράτους πρόνοιας στην υγεία </w:t>
      </w:r>
    </w:p>
    <w:p>
      <w:pPr>
        <w:pStyle w:val="Para8"/>
        <w:spacing w:line="360" w:lineRule="auto" w:before="360" w:after="360"/>
        <w:ind w:left="0" w:hanging="0"/>
        <w:rPr>
          <w:sz w:val="28"/>
          <w:szCs w:val="28"/>
          <w:color w:val="50637D"/>
          <w:rFonts w:ascii="n" w:eastAsia="n" w:hAnsi="n"/>
          <w:sz w:val="28"/>
          <w:szCs w:val="28"/>
          <w:rFonts w:ascii="Calibri" w:eastAsia="Calibri" w:hAnsi="Calibri"/>
        </w:rPr>
      </w:pPr>
    </w:p>
    <w:p>
      <w:pPr>
        <w:pStyle w:val="Para9"/>
        <w:spacing w:line="360" w:lineRule="auto" w:before="360" w:after="360"/>
        <w:contextualSpacing w:val="1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6"/>
          <w:color w:val="44546A"/>
          <w:sz w:val="24"/>
          <w:szCs w:val="24"/>
        </w:rPr>
        <w:t xml:space="preserve">Ελληνικό Ανοιχτό Πανεπιστήμιο</w:t>
      </w: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  <w:r>
        <w:rPr>
          <w:rStyle w:val="Character1"/>
          <w:color w:val="44546A"/>
          <w:sz w:val="22"/>
          <w:szCs w:val="22"/>
        </w:rPr>
        <w:t xml:space="preserve">Σχολή κοινωνικών Επιστημών</w:t>
      </w: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  <w:r>
        <w:rPr>
          <w:rStyle w:val="Character1"/>
          <w:color w:val="44546A"/>
          <w:sz w:val="22"/>
          <w:szCs w:val="22"/>
        </w:rPr>
        <w:t xml:space="preserve">Τμήμα Διοίκησης Μονάδων Υγείας</w:t>
      </w: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  <w:r>
        <w:rPr>
          <w:rStyle w:val="Character1"/>
          <w:color w:val="44546A"/>
          <w:sz w:val="22"/>
          <w:szCs w:val="22"/>
        </w:rPr>
        <w:t xml:space="preserve">Χριστοδούλου Παναγιώτης</w:t>
      </w: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  <w:hyperlink r:id="rId5">
        <w:r>
          <w:rPr>
            <w:rStyle w:val="Character11"/>
            <w:color w:val="0563C1"/>
            <w:sz w:val="22"/>
            <w:szCs w:val="22"/>
          </w:rPr>
          <w:t>Christodp17@gmail.com</w:t>
        </w:r>
      </w:hyperlink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  <w:r>
        <w:rPr>
          <w:rStyle w:val="Character1"/>
          <w:color w:val="44546A"/>
          <w:sz w:val="22"/>
          <w:szCs w:val="22"/>
        </w:rPr>
        <w:t xml:space="preserve">Επιβλέπουσα Καθηγήτρια : Τσιρώνη Μαρία </w:t>
      </w: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  <w:r>
        <w:rPr>
          <w:rStyle w:val="Character1"/>
          <w:color w:val="44546A"/>
          <w:sz w:val="22"/>
          <w:szCs w:val="22"/>
        </w:rPr>
        <w:t xml:space="preserve">Ιανουάριος 2016</w:t>
      </w: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0"/>
        <w:spacing w:line="360" w:lineRule="auto" w:after="200"/>
        <w:ind w:left="0" w:hanging="0"/>
        <w:rPr>
          <w:sz w:val="22"/>
          <w:szCs w:val="22"/>
          <w:color w:val="44546A"/>
          <w:rFonts w:ascii="n" w:eastAsia="n" w:hAnsi="n"/>
          <w:sz w:val="22"/>
          <w:szCs w:val="22"/>
          <w:rFonts w:ascii="Calibri" w:eastAsia="Calibri" w:hAnsi="Calibri"/>
        </w:rPr>
      </w:pPr>
    </w:p>
    <w:p>
      <w:pPr>
        <w:pStyle w:val="Para11"/>
        <w:spacing w:line="360" w:lineRule="auto" w:after="200"/>
        <w:ind w:left="0" w:hanging="0"/>
        <w:rPr>
          <w:b/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0"/>
          <w:b/>
          <w:color w:val="44546A"/>
          <w:sz w:val="24"/>
          <w:szCs w:val="24"/>
        </w:rPr>
        <w:t>Περίληψη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6"/>
          <w:color w:val="44546A"/>
          <w:sz w:val="24"/>
          <w:szCs w:val="24"/>
        </w:rPr>
        <w:t xml:space="preserve">Στην περίοδο οικονομικής κρίσης του τώρα, ανοίγει μια συζήτηση του χτες : χρειαζόμαστε το κρ</w:t>
      </w:r>
      <w:r>
        <w:rPr>
          <w:rStyle w:val="Character6"/>
          <w:color w:val="44546A"/>
          <w:sz w:val="24"/>
          <w:szCs w:val="24"/>
        </w:rPr>
        <w:t xml:space="preserve">άτος πρόνοιας και ποια είναι τα όρια της κοινωνικής πολιτικής  ; Τι είναι όμως το κράτος πρόνοι</w:t>
      </w:r>
      <w:r>
        <w:rPr>
          <w:rStyle w:val="Character6"/>
          <w:color w:val="44546A"/>
          <w:sz w:val="24"/>
          <w:szCs w:val="24"/>
        </w:rPr>
        <w:t xml:space="preserve">ας και πως ασκείται η κοινωνική πολιτική σε κάθε χώρα ; Το κράτος πρόνοιας , η μορφή του αστ</w:t>
      </w:r>
      <w:r>
        <w:rPr>
          <w:rStyle w:val="Character6"/>
          <w:color w:val="44546A"/>
          <w:sz w:val="24"/>
          <w:szCs w:val="24"/>
        </w:rPr>
        <w:t xml:space="preserve">ικού κράτους που επικράτησε μετά τις αστικές επαναστάσεις του 19</w:t>
      </w:r>
      <w:r>
        <w:rPr>
          <w:rStyle w:val="Character13"/>
          <w:vertAlign w:val="superscript"/>
          <w:color w:val="44546A"/>
          <w:sz w:val="24"/>
          <w:szCs w:val="24"/>
        </w:rPr>
        <w:t>ου</w:t>
      </w:r>
      <w:r>
        <w:rPr>
          <w:rStyle w:val="Character6"/>
          <w:color w:val="44546A"/>
          <w:sz w:val="24"/>
          <w:szCs w:val="24"/>
        </w:rPr>
        <w:t xml:space="preserve"> αιώνα , αναπαράχθηκε με </w:t>
      </w:r>
      <w:r>
        <w:rPr>
          <w:rStyle w:val="Character6"/>
          <w:color w:val="44546A"/>
          <w:sz w:val="24"/>
          <w:szCs w:val="24"/>
        </w:rPr>
        <w:t xml:space="preserve">βάση τρία κυρίαρχα πολιτικά μοντέλα με αντίστοιχες οικονομικές βάσεις : το φιλελεύθερο με β</w:t>
      </w:r>
      <w:r>
        <w:rPr>
          <w:rStyle w:val="Character6"/>
          <w:color w:val="44546A"/>
          <w:sz w:val="24"/>
          <w:szCs w:val="24"/>
        </w:rPr>
        <w:t xml:space="preserve">άση το υπολειμματικό , το συντηρητικό με βάση το βιομηχανικό και το σοσιαλδημοκρατικό με β</w:t>
      </w:r>
      <w:r>
        <w:rPr>
          <w:rStyle w:val="Character6"/>
          <w:color w:val="44546A"/>
          <w:sz w:val="24"/>
          <w:szCs w:val="24"/>
        </w:rPr>
        <w:t xml:space="preserve">άση το θεσμικό Η αποδοτικότητα του, για την λειτουργία της αγοράς δέχτηκε κριτική από το ρεύ</w:t>
      </w:r>
      <w:r>
        <w:rPr>
          <w:rStyle w:val="Character6"/>
          <w:color w:val="44546A"/>
          <w:sz w:val="24"/>
          <w:szCs w:val="24"/>
        </w:rPr>
        <w:t xml:space="preserve">μα του νεοφιλελευθερισμού, ενώ το ρεύμα του μαρξισμού άσκησε κριτική ως προς την προσφορά </w:t>
      </w:r>
      <w:r>
        <w:rPr>
          <w:rStyle w:val="Character6"/>
          <w:color w:val="44546A"/>
          <w:sz w:val="24"/>
          <w:szCs w:val="24"/>
        </w:rPr>
        <w:t xml:space="preserve">του στις υποτελείς τάξεις. Που βρίσκεται όμως η Ελλάδα ;  Αντίθετα με πολλούς μύθους που επι</w:t>
      </w:r>
      <w:r>
        <w:rPr>
          <w:rStyle w:val="Character6"/>
          <w:color w:val="44546A"/>
          <w:sz w:val="24"/>
          <w:szCs w:val="24"/>
        </w:rPr>
        <w:t xml:space="preserve">κρατούν , η Ελλάδα ανήκει σε μια ιδιότυπη κατηγορία χωρών που υπάγονται στο 《μοντέλο του </w:t>
      </w:r>
      <w:r>
        <w:rPr>
          <w:rStyle w:val="Character6"/>
          <w:color w:val="44546A"/>
          <w:sz w:val="24"/>
          <w:szCs w:val="24"/>
        </w:rPr>
        <w:t xml:space="preserve">Νότου》. Τα στατιστικά στοιχεία που υπάρχουν, επιβεβαιώνουν τις διαφοροποιήσεις στις δαπάν</w:t>
      </w:r>
      <w:r>
        <w:rPr>
          <w:rStyle w:val="Character6"/>
          <w:color w:val="44546A"/>
          <w:sz w:val="24"/>
          <w:szCs w:val="24"/>
        </w:rPr>
        <w:t xml:space="preserve">ες για την υγεία και την κοινωνική πολιτική, με τις χώρες του Νότου στη δυσμενέστερη θέση. Τι </w:t>
      </w:r>
      <w:r>
        <w:rPr>
          <w:rStyle w:val="Character6"/>
          <w:color w:val="44546A"/>
          <w:sz w:val="24"/>
          <w:szCs w:val="24"/>
        </w:rPr>
        <w:t xml:space="preserve">γίνεται όμως με τις ανάγκες ; Με τον εξορθολογισμό στο ποιες είναι οι βασικές για την ικανοποί</w:t>
      </w:r>
      <w:r>
        <w:rPr>
          <w:rStyle w:val="Character6"/>
          <w:color w:val="44546A"/>
          <w:sz w:val="24"/>
          <w:szCs w:val="24"/>
        </w:rPr>
        <w:t xml:space="preserve">ηση των περαιτέρω επίκτητων , οι μελέτες δείχνουν ότι δεν καλύπτονται αποτελεσματικά ούτε αμ</w:t>
      </w:r>
      <w:r>
        <w:rPr>
          <w:rStyle w:val="Character6"/>
          <w:color w:val="44546A"/>
          <w:sz w:val="24"/>
          <w:szCs w:val="24"/>
        </w:rPr>
        <w:t xml:space="preserve">ερόληπτα , σε κανένα σύστημα από τα παραπάνω. Αυτό, σε συνδυασμό με τους ποικίλους παράγο</w:t>
      </w:r>
      <w:r>
        <w:rPr>
          <w:rStyle w:val="Character6"/>
          <w:color w:val="44546A"/>
          <w:sz w:val="24"/>
          <w:szCs w:val="24"/>
        </w:rPr>
        <w:t xml:space="preserve">ντες που επηρεάζουν τους δείκτες υγείας ( περιβαλλοντικές αλλαγές , γραφειοκρατία , νέες τεχνο</w:t>
      </w:r>
      <w:r>
        <w:rPr>
          <w:rStyle w:val="Character6"/>
          <w:color w:val="44546A"/>
          <w:sz w:val="24"/>
          <w:szCs w:val="24"/>
        </w:rPr>
        <w:t xml:space="preserve">λογίες, διαχείριση πόρων, δημογραφική εξέλιξη ) και δημιουργούν ομάδες αποκλεισμένων από τη</w:t>
      </w:r>
      <w:r>
        <w:rPr>
          <w:rStyle w:val="Character6"/>
          <w:color w:val="44546A"/>
          <w:sz w:val="24"/>
          <w:szCs w:val="24"/>
        </w:rPr>
        <w:t xml:space="preserve">ν προστασία , οδηγεί στο συμπέρασμα ότι υπάρχει η ανάγκη για ένα μοντέλο που δε θα εμπορευμ</w:t>
      </w:r>
      <w:r>
        <w:rPr>
          <w:rStyle w:val="Character6"/>
          <w:color w:val="44546A"/>
          <w:sz w:val="24"/>
          <w:szCs w:val="24"/>
        </w:rPr>
        <w:t xml:space="preserve">ατοποιεί τις κοινωνικές ανάγκες, ούτε θα αναζητεί πεδίο κερδοφορίας από την δημιουργία ευπαθ</w:t>
      </w:r>
      <w:r>
        <w:rPr>
          <w:rStyle w:val="Character6"/>
          <w:color w:val="44546A"/>
          <w:sz w:val="24"/>
          <w:szCs w:val="24"/>
        </w:rPr>
        <w:t xml:space="preserve">ών ομάδων, αλλά θα οδηγεί σε ένα πολιτικό σύστημα το οποίο δε θα αναπαράγει ούτε θα κατευνά</w:t>
      </w:r>
      <w:r>
        <w:rPr>
          <w:rStyle w:val="Character6"/>
          <w:color w:val="44546A"/>
          <w:sz w:val="24"/>
          <w:szCs w:val="24"/>
        </w:rPr>
        <w:t xml:space="preserve">ζει ανισότητες.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6"/>
          <w:color w:val="44546A"/>
          <w:sz w:val="24"/>
          <w:szCs w:val="24"/>
        </w:rPr>
        <w:t xml:space="preserve">Λέξεις κλειδιά : κοινωνική πολιτική , κράτος πρόνοιας , φιλελευθερισμός , μαρξισμός , σοσιαλδη</w:t>
      </w:r>
      <w:r>
        <w:rPr>
          <w:rStyle w:val="Character6"/>
          <w:color w:val="44546A"/>
          <w:sz w:val="24"/>
          <w:szCs w:val="24"/>
        </w:rPr>
        <w:t xml:space="preserve">μοκρατία , Ferrera , χώρες του νότου , δαπάνες υγείας , ανεκπλήρωτες ανάγκες , OECD , ESPROS  </w:t>
      </w:r>
      <w:r>
        <w:rPr>
          <w:rStyle w:val="Character6"/>
          <w:color w:val="44546A"/>
          <w:sz w:val="24"/>
          <w:szCs w:val="24"/>
        </w:rPr>
        <w:t xml:space="preserve">, δείκτες υγείας , παράγοντες υγείας 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b/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0"/>
          <w:b/>
          <w:color w:val="44546A"/>
          <w:sz w:val="24"/>
          <w:szCs w:val="24"/>
        </w:rPr>
        <w:t>Περιεχόμενα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a3"/>
        <w:numPr>
          <w:ilvl w:val="0"/>
          <w:numId w:val="1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Εισαγωγή                                                                           σελ.4</w:t>
      </w:r>
    </w:p>
    <w:p>
      <w:pPr>
        <w:pStyle w:val="a3"/>
        <w:numPr>
          <w:ilvl w:val="0"/>
          <w:numId w:val="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Κοινωνική πολιτική  στην Ευρώπη                                  σελ.6</w:t>
      </w:r>
    </w:p>
    <w:p>
      <w:pPr>
        <w:pStyle w:val="a3"/>
        <w:numPr>
          <w:ilvl w:val="1"/>
          <w:numId w:val="2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Διαχρονική εξέλιξη                                               σελ.6</w:t>
      </w:r>
    </w:p>
    <w:p>
      <w:pPr>
        <w:pStyle w:val="a3"/>
        <w:numPr>
          <w:ilvl w:val="1"/>
          <w:numId w:val="2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Κατηγορίες συστημάτων ανά ομάδες κρατών      σελ.8</w:t>
      </w:r>
    </w:p>
    <w:p>
      <w:pPr>
        <w:pStyle w:val="a3"/>
        <w:numPr>
          <w:ilvl w:val="1"/>
          <w:numId w:val="2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Η περίπτωση του Νότου                                        σελ.8</w:t>
      </w:r>
    </w:p>
    <w:p>
      <w:pPr>
        <w:pStyle w:val="a3"/>
        <w:numPr>
          <w:ilvl w:val="0"/>
          <w:numId w:val="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Κοινωνικές ανάγκες και υγεία                                          σελ.10</w:t>
      </w:r>
    </w:p>
    <w:p>
      <w:pPr>
        <w:pStyle w:val="a3"/>
        <w:numPr>
          <w:ilvl w:val="1"/>
          <w:numId w:val="2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Τι δαπανούμε ;                                                       σελ.11</w:t>
      </w:r>
    </w:p>
    <w:p>
      <w:pPr>
        <w:pStyle w:val="a3"/>
        <w:numPr>
          <w:ilvl w:val="1"/>
          <w:numId w:val="2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Τι δεν καλύπτουμε ;                                               σελ.12</w:t>
      </w:r>
    </w:p>
    <w:p>
      <w:pPr>
        <w:pStyle w:val="a3"/>
        <w:numPr>
          <w:ilvl w:val="0"/>
          <w:numId w:val="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Παράγοντες κοινωνικής πολιτικής και συστήμα υγείας    σελ.13</w:t>
      </w:r>
    </w:p>
    <w:p>
      <w:pPr>
        <w:pStyle w:val="a3"/>
        <w:numPr>
          <w:ilvl w:val="1"/>
          <w:numId w:val="2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Παράγοντες και δείκτες κοινωνικής πολιτικής      σελ.13</w:t>
      </w:r>
    </w:p>
    <w:p>
      <w:pPr>
        <w:pStyle w:val="a3"/>
        <w:numPr>
          <w:ilvl w:val="1"/>
          <w:numId w:val="2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Η ελληνική περίπτωση                                           σελ.15</w:t>
      </w:r>
    </w:p>
    <w:p>
      <w:pPr>
        <w:pStyle w:val="a3"/>
        <w:numPr>
          <w:ilvl w:val="0"/>
          <w:numId w:val="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Συμπεράσματα                                                                   σελ.18</w:t>
      </w:r>
    </w:p>
    <w:p>
      <w:pPr>
        <w:pStyle w:val="Para14"/>
        <w:spacing w:line="360" w:lineRule="auto" w:after="200"/>
        <w:contextualSpacing w:val="1"/>
        <w:ind w:left="72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a3"/>
        <w:numPr>
          <w:ilvl w:val="1"/>
          <w:numId w:val="3"/>
        </w:numPr>
        <w:jc w:val="both"/>
        <w:spacing w:line="360" w:lineRule="auto" w:after="200"/>
        <w:contextualSpacing w:val="1"/>
        <w:ind w:left="1440" w:hanging="360"/>
        <w:rPr>
          <w:b/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0"/>
          <w:b/>
          <w:color w:val="44546A"/>
          <w:sz w:val="24"/>
          <w:szCs w:val="24"/>
        </w:rPr>
        <w:t xml:space="preserve">Εισαγωγή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Η κοινωνική πολιτική  σύμφωνα με την παραδοσιακή σχολή είναι η διοίκηση της πρόνοιας και τω</w:t>
      </w:r>
      <w:r>
        <w:rPr>
          <w:rStyle w:val="Character15"/>
          <w:color w:val="44546A"/>
          <w:sz w:val="24"/>
          <w:szCs w:val="24"/>
        </w:rPr>
        <w:t xml:space="preserve">ν κρατικών υπηρεσιών ώστε να αντιμετωπίζονται τα προβλήματα συνοχής (  Lowe,1993 ). Η  αντί</w:t>
      </w:r>
      <w:r>
        <w:rPr>
          <w:rStyle w:val="Character15"/>
          <w:color w:val="44546A"/>
          <w:sz w:val="24"/>
          <w:szCs w:val="24"/>
        </w:rPr>
        <w:t xml:space="preserve">ληψη αυτή, για τις παροχές δικαιωμάτων και προστασίας εντός του μεταφεουδαρχικού κρατικού </w:t>
      </w:r>
      <w:r>
        <w:rPr>
          <w:rStyle w:val="Character15"/>
          <w:color w:val="44546A"/>
          <w:sz w:val="24"/>
          <w:szCs w:val="24"/>
        </w:rPr>
        <w:t xml:space="preserve">σχηματισμού, έχει τις ρίζες της στην  περίοδο του διαφωτισμού και της Γαλλικής Επανάστασης: </w:t>
      </w:r>
      <w:r>
        <w:rPr>
          <w:rStyle w:val="Character15"/>
          <w:color w:val="44546A"/>
          <w:sz w:val="24"/>
          <w:szCs w:val="24"/>
        </w:rPr>
        <w:t xml:space="preserve">συγκεκριμένα το κοινωνικό συμβόλαιο των πολιτών με την κρατική εξουσία τους εξασφαλίζει πρ</w:t>
      </w:r>
      <w:r>
        <w:rPr>
          <w:rStyle w:val="Character15"/>
          <w:color w:val="44546A"/>
          <w:sz w:val="24"/>
          <w:szCs w:val="24"/>
        </w:rPr>
        <w:t xml:space="preserve">οστασία σε μια σειρά από επίπεδα με στόχο να εξισορροπούνται οι αντιθέσεις μεταξύ των διάφο</w:t>
      </w:r>
      <w:r>
        <w:rPr>
          <w:rStyle w:val="Character15"/>
          <w:color w:val="44546A"/>
          <w:sz w:val="24"/>
          <w:szCs w:val="24"/>
        </w:rPr>
        <w:t xml:space="preserve">ρων τάξεων, συγκροτώντας τη βάση του κράτους πρόνοιας  (  Ρουσσώ  , 2012 ). Η σύγχρονη μορφ</w:t>
      </w:r>
      <w:r>
        <w:rPr>
          <w:rStyle w:val="Character15"/>
          <w:color w:val="44546A"/>
          <w:sz w:val="24"/>
          <w:szCs w:val="24"/>
        </w:rPr>
        <w:t xml:space="preserve">ή της παραπάνω αντίληψης διαμορφώθηκε από τους Φαβιανούς σοσιαλιστές  και τον Bismark, σε </w:t>
      </w:r>
      <w:r>
        <w:rPr>
          <w:rStyle w:val="Character15"/>
          <w:color w:val="44546A"/>
          <w:sz w:val="24"/>
          <w:szCs w:val="24"/>
        </w:rPr>
        <w:t xml:space="preserve">συνδυασμό με την Κεϋνσιανή πολιτική, συγκροτώντας το πολιτικό ρεύμα της σοσιαλδημοκρατία</w:t>
      </w:r>
      <w:r>
        <w:rPr>
          <w:rStyle w:val="Character15"/>
          <w:color w:val="44546A"/>
          <w:sz w:val="24"/>
          <w:szCs w:val="24"/>
        </w:rPr>
        <w:t xml:space="preserve">ς ( Στασινοπούλου, 2006 ).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Η ερμηνεία της αναπαραγωγής της εργατικής τάξης μέσω των παροχών ώστε να γίνεται δυνατή η </w:t>
      </w:r>
      <w:r>
        <w:rPr>
          <w:rStyle w:val="Character15"/>
          <w:color w:val="44546A"/>
          <w:sz w:val="24"/>
          <w:szCs w:val="24"/>
        </w:rPr>
        <w:t xml:space="preserve">απαραίτητη απόσπαση υπεραξίας, θέτει τα θεμέλια για τη μαρξιστική  κριτική  του κράτους πρό</w:t>
      </w:r>
      <w:r>
        <w:rPr>
          <w:rStyle w:val="Character15"/>
          <w:color w:val="44546A"/>
          <w:sz w:val="24"/>
          <w:szCs w:val="24"/>
        </w:rPr>
        <w:t xml:space="preserve">νοιας και του κοινωνικού συμβολαίου, ως ουσιαστικά μέσου χειραγώγησης της εργατικής τάξης, </w:t>
      </w:r>
      <w:r>
        <w:rPr>
          <w:rStyle w:val="Character15"/>
          <w:color w:val="44546A"/>
          <w:sz w:val="24"/>
          <w:szCs w:val="24"/>
        </w:rPr>
        <w:t xml:space="preserve">υπέρ των μεσαίων και ανώτατων στρωμάτων (Μαρξ,2011). Η κριτική στη διαταξική αντίληψη για </w:t>
      </w:r>
      <w:r>
        <w:rPr>
          <w:rStyle w:val="Character15"/>
          <w:color w:val="44546A"/>
          <w:sz w:val="24"/>
          <w:szCs w:val="24"/>
        </w:rPr>
        <w:t xml:space="preserve">την κοινωνική συνοχή και την πρόνοια ,που παρουσίαζε η σοσιαλδημοκρατική προσέγγιση , κατέ</w:t>
      </w:r>
      <w:r>
        <w:rPr>
          <w:rStyle w:val="Character15"/>
          <w:color w:val="44546A"/>
          <w:sz w:val="24"/>
          <w:szCs w:val="24"/>
        </w:rPr>
        <w:t xml:space="preserve">ληγε στο  ότι η επανάσταση ( διάρρηξη του κοινωνικού συμβολαίου ) και όχι η μεταρρύθμιση εκφ</w:t>
      </w:r>
      <w:r>
        <w:rPr>
          <w:rStyle w:val="Character15"/>
          <w:color w:val="44546A"/>
          <w:sz w:val="24"/>
          <w:szCs w:val="24"/>
        </w:rPr>
        <w:t xml:space="preserve">ράζει τα συμφέροντα των εργαζομένων ( Λούξεμποργκ , 1980 ).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Κριτική εμφανίσθηκε και από το ρεύμα του φιλελευθερισμού, είτε από την οπτική ότι η κοινωνικ</w:t>
      </w:r>
      <w:r>
        <w:rPr>
          <w:rStyle w:val="Character15"/>
          <w:color w:val="44546A"/>
          <w:sz w:val="24"/>
          <w:szCs w:val="24"/>
        </w:rPr>
        <w:t xml:space="preserve">ή προστασία παραβιάζει τις προσωπικές ελευθερίες ( Hayek,1976 ),  είτε υπό το πρίσμα ότι το κο</w:t>
      </w:r>
      <w:r>
        <w:rPr>
          <w:rStyle w:val="Character15"/>
          <w:color w:val="44546A"/>
          <w:sz w:val="24"/>
          <w:szCs w:val="24"/>
        </w:rPr>
        <w:t xml:space="preserve">ινωνικό κράτος καταστέλλει την εύρυθμη λειτουργία της αγοράς και της κοινωνίας ( Buchannan, </w:t>
      </w:r>
      <w:r>
        <w:rPr>
          <w:rStyle w:val="Character15"/>
          <w:color w:val="44546A"/>
          <w:sz w:val="24"/>
          <w:szCs w:val="24"/>
        </w:rPr>
        <w:t xml:space="preserve">1976 ). Οι παραπάνω αντιλήψεις συγκρότησαν αντίστοιχα  τον φιλελεύθερο και τον συντηρητικό </w:t>
      </w:r>
      <w:r>
        <w:rPr>
          <w:rStyle w:val="Character15"/>
          <w:color w:val="44546A"/>
          <w:sz w:val="24"/>
          <w:szCs w:val="24"/>
        </w:rPr>
        <w:t xml:space="preserve">πόλο ερμηνείας του κράτους πρόνοιας, με κύρια έμφαση στην αγορά και την οικογένεια  ή στην θ</w:t>
      </w:r>
      <w:r>
        <w:rPr>
          <w:rStyle w:val="Character15"/>
          <w:color w:val="44546A"/>
          <w:sz w:val="24"/>
          <w:szCs w:val="24"/>
        </w:rPr>
        <w:t xml:space="preserve">έση εργασίας  στην παραγωγή.  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Στα τέλη της δεκαετίας του 90 αναπτύχθηκε η θεωρία ότι η καπιταλιστική ανάπτυξη θα οδηγούσ</w:t>
      </w:r>
      <w:r>
        <w:rPr>
          <w:rStyle w:val="Character15"/>
          <w:color w:val="44546A"/>
          <w:sz w:val="24"/>
          <w:szCs w:val="24"/>
        </w:rPr>
        <w:t xml:space="preserve">ε σε μεγαλύτερη παρέμβαση του κράτους λόγω  της διαφοροποίησης των κοινωνικών κινδύνων ( </w:t>
      </w:r>
      <w:r>
        <w:rPr>
          <w:rStyle w:val="Character15"/>
          <w:color w:val="44546A"/>
          <w:sz w:val="24"/>
          <w:szCs w:val="24"/>
        </w:rPr>
        <w:t xml:space="preserve">Langendonck , 1997 ). Όντως η ανασφάλεια των μεσαίων τάξεων οδήγησε αρχικά στη διεύρυνση δ</w:t>
      </w:r>
      <w:r>
        <w:rPr>
          <w:rStyle w:val="Character15"/>
          <w:color w:val="44546A"/>
          <w:sz w:val="24"/>
          <w:szCs w:val="24"/>
        </w:rPr>
        <w:t xml:space="preserve">ικαιωμάτων υπέρ των ασθενέστερων ( Baldwin,1990 ). Η μεταβολή των μορφών της κοινωνικής α</w:t>
      </w:r>
      <w:r>
        <w:rPr>
          <w:rStyle w:val="Character15"/>
          <w:color w:val="44546A"/>
          <w:sz w:val="24"/>
          <w:szCs w:val="24"/>
        </w:rPr>
        <w:t xml:space="preserve">λληλεγγύης και πολιτικής εκφράζει συνεπώς βαθύτερα ρεύματα και αλλαγές του κοινωνικονομικ</w:t>
      </w:r>
      <w:r>
        <w:rPr>
          <w:rStyle w:val="Character15"/>
          <w:color w:val="44546A"/>
          <w:sz w:val="24"/>
          <w:szCs w:val="24"/>
        </w:rPr>
        <w:t xml:space="preserve">ού γίγνεσθαι (Schulin, 1988). Πάνω σε αυτή τη θεώρηση , και βασιζόμενη σε νέα φιλοσοφικά ρεύ</w:t>
      </w:r>
      <w:r>
        <w:rPr>
          <w:rStyle w:val="Character15"/>
          <w:color w:val="44546A"/>
          <w:sz w:val="24"/>
          <w:szCs w:val="24"/>
        </w:rPr>
        <w:t xml:space="preserve">ματα, εμφανίζεται η σύνδεση της κοινωνικής πολιτικής με την εξουσία και την ομογενιοποίηση κ</w:t>
      </w:r>
      <w:r>
        <w:rPr>
          <w:rStyle w:val="Character15"/>
          <w:color w:val="44546A"/>
          <w:sz w:val="24"/>
          <w:szCs w:val="24"/>
        </w:rPr>
        <w:t xml:space="preserve">οινωνικών ομάδων, ακόμα και κρατών, με στόχο την έμπνευση φόβου σε αυτά, ώστε να μην δύνατ</w:t>
      </w:r>
      <w:r>
        <w:rPr>
          <w:rStyle w:val="Character15"/>
          <w:color w:val="44546A"/>
          <w:sz w:val="24"/>
          <w:szCs w:val="24"/>
        </w:rPr>
        <w:t xml:space="preserve">αι να χρησιμοποιήσουν την δυναμική τους ( Μπαλιμπάρ , 2010 ). Υπό το πρίσμα αυτό, έννοιες όπ</w:t>
      </w:r>
      <w:r>
        <w:rPr>
          <w:rStyle w:val="Character15"/>
          <w:color w:val="44546A"/>
          <w:sz w:val="24"/>
          <w:szCs w:val="24"/>
        </w:rPr>
        <w:t xml:space="preserve">ως το κράτος πρόνοιας , η ασφάλιση , η εκπαίδευση εμφανίζονται ως ιδεολογικοί μηχανισμοί ανα</w:t>
      </w:r>
      <w:r>
        <w:rPr>
          <w:rStyle w:val="Character15"/>
          <w:color w:val="44546A"/>
          <w:sz w:val="24"/>
          <w:szCs w:val="24"/>
        </w:rPr>
        <w:t xml:space="preserve">παραγωγής του κράτους ( Αλτουσέρ , 1999 ). Το ίδιο το κράτος μάλιστα δεν εμφανίζεται ως εργα</w:t>
      </w:r>
      <w:r>
        <w:rPr>
          <w:rStyle w:val="Character15"/>
          <w:color w:val="44546A"/>
          <w:sz w:val="24"/>
          <w:szCs w:val="24"/>
        </w:rPr>
        <w:t xml:space="preserve">λείο της εκάστοτε άρχουσας τάξης, αλλά ως συμπύκνωση των αντιθέσεων στο εσωτερικό του ( Π</w:t>
      </w:r>
      <w:r>
        <w:rPr>
          <w:rStyle w:val="Character15"/>
          <w:color w:val="44546A"/>
          <w:sz w:val="24"/>
          <w:szCs w:val="24"/>
        </w:rPr>
        <w:t xml:space="preserve">ουλαντζάς , 2008). Την   άποψη αυτή ,αμφισβητήσουν μεταγενέστερες έρευνες που υποστήριζαν τ</w:t>
      </w:r>
      <w:r>
        <w:rPr>
          <w:rStyle w:val="Character15"/>
          <w:color w:val="44546A"/>
          <w:sz w:val="24"/>
          <w:szCs w:val="24"/>
        </w:rPr>
        <w:t xml:space="preserve">ο ρόλο των πολιτικών ελίτ, της αστικής τάξης, ακόμη και συντηρητικών κομμάτων (Rimlinger, </w:t>
      </w:r>
      <w:r>
        <w:rPr>
          <w:rStyle w:val="Character15"/>
          <w:color w:val="44546A"/>
          <w:sz w:val="24"/>
          <w:szCs w:val="24"/>
        </w:rPr>
        <w:t xml:space="preserve">1971).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Η οικονομική και κοινωνική κρίση των  τελευταίων ετών επικαιροποίησε τη  συζήτηση γύρω από </w:t>
      </w:r>
      <w:r>
        <w:rPr>
          <w:rStyle w:val="Character15"/>
          <w:color w:val="44546A"/>
          <w:sz w:val="24"/>
          <w:szCs w:val="24"/>
        </w:rPr>
        <w:t xml:space="preserve">την χρησιμότητα του κράτους πρόνοιας και κατά συνέπεια του μοντέλου εφαρμογής της κοινωνι</w:t>
      </w:r>
      <w:r>
        <w:rPr>
          <w:rStyle w:val="Character15"/>
          <w:color w:val="44546A"/>
          <w:sz w:val="24"/>
          <w:szCs w:val="24"/>
        </w:rPr>
        <w:t xml:space="preserve">κής πολιτική. Εμφανίζεται ένα ρεύμα που συνεχίζει να υπερασπίζεται τη συνέχεια μέσω του εξυγ</w:t>
      </w:r>
      <w:r>
        <w:rPr>
          <w:rStyle w:val="Character15"/>
          <w:color w:val="44546A"/>
          <w:sz w:val="24"/>
          <w:szCs w:val="24"/>
        </w:rPr>
        <w:t xml:space="preserve">χρονισμού του κράτους πρόνοιας , θεωρώντας την κρίση ως αποτέλεσμα οικονομικών αλλαγών κ</w:t>
      </w:r>
      <w:r>
        <w:rPr>
          <w:rStyle w:val="Character15"/>
          <w:color w:val="44546A"/>
          <w:sz w:val="24"/>
          <w:szCs w:val="24"/>
        </w:rPr>
        <w:t xml:space="preserve">αι όχι αποτυχίας του αρχικού μοντέλου ( Σακελλαρόπουλος,1999 ). Επίσης επανέρχεται η νεοφιλ</w:t>
      </w:r>
      <w:r>
        <w:rPr>
          <w:rStyle w:val="Character15"/>
          <w:color w:val="44546A"/>
          <w:sz w:val="24"/>
          <w:szCs w:val="24"/>
        </w:rPr>
        <w:t xml:space="preserve">ελεύθερη  αντίληψη της ελεύθερης αγοράς και της μείωσης της κρατικής παρεμβατικότητας ( </w:t>
      </w:r>
      <w:r>
        <w:rPr>
          <w:rStyle w:val="Character15"/>
          <w:color w:val="44546A"/>
          <w:sz w:val="24"/>
          <w:szCs w:val="24"/>
        </w:rPr>
        <w:t xml:space="preserve">Friedman, 1980 ) . Αντίθετα αναπτύσσεται η λογική του κυκλικού φαινομένου της κρίσης του μο</w:t>
      </w:r>
      <w:r>
        <w:rPr>
          <w:rStyle w:val="Character15"/>
          <w:color w:val="44546A"/>
          <w:sz w:val="24"/>
          <w:szCs w:val="24"/>
        </w:rPr>
        <w:t xml:space="preserve">ντέλου παραγωγής , το οποίο όμως πλέον δε μπορεί να επαναφέρει το σοσιαλδημοκρατικό μοντέλ</w:t>
      </w:r>
      <w:r>
        <w:rPr>
          <w:rStyle w:val="Character15"/>
          <w:color w:val="44546A"/>
          <w:sz w:val="24"/>
          <w:szCs w:val="24"/>
        </w:rPr>
        <w:t xml:space="preserve">ο της  δεκαετίας του 1950 , λόγω των μεταβολών στην οικονομία κα την παραγωγή  ( Λάσκος , Τσ</w:t>
      </w:r>
      <w:r>
        <w:rPr>
          <w:rStyle w:val="Character15"/>
          <w:color w:val="44546A"/>
          <w:sz w:val="24"/>
          <w:szCs w:val="24"/>
        </w:rPr>
        <w:t xml:space="preserve">ακαλώτος 2011 ).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Συμπεραίνεται λοιπόν πως η έννοια της κοινωνικής πολιτικής επιδέχεται πολλών ερμηνειών και ε</w:t>
      </w:r>
      <w:r>
        <w:rPr>
          <w:rStyle w:val="Character15"/>
          <w:color w:val="44546A"/>
          <w:sz w:val="24"/>
          <w:szCs w:val="24"/>
        </w:rPr>
        <w:t xml:space="preserve">ντάσσεται σε διάφορα πολιτικά συστήματα ,αν και λανθασμένα ταυτίζεται αρκετές φορές  με το </w:t>
      </w:r>
      <w:r>
        <w:rPr>
          <w:rStyle w:val="Character15"/>
          <w:color w:val="44546A"/>
          <w:sz w:val="24"/>
          <w:szCs w:val="24"/>
        </w:rPr>
        <w:t xml:space="preserve">κράτος πρόνοιας ( μορφή αστικού κράτους ) ή τη σοσιαλδημοκρατία ( θεωρητική πολιτική  προσ</w:t>
      </w:r>
      <w:r>
        <w:rPr>
          <w:rStyle w:val="Character15"/>
          <w:color w:val="44546A"/>
          <w:sz w:val="24"/>
          <w:szCs w:val="24"/>
        </w:rPr>
        <w:t xml:space="preserve">έγγιση ). Στόχος λοιπόν της εργασίας είναι , με βάση περαιτέρω κατηγοριοποιήσεις που  θα αναφ</w:t>
      </w:r>
      <w:r>
        <w:rPr>
          <w:rStyle w:val="Character15"/>
          <w:color w:val="44546A"/>
          <w:sz w:val="24"/>
          <w:szCs w:val="24"/>
        </w:rPr>
        <w:t xml:space="preserve">ερθούν , να απαντηθεί κατά πόσο η  κοινωνική πολιτική στην Ευρώπη και την Ελλάδα επηρεάστη</w:t>
      </w:r>
      <w:r>
        <w:rPr>
          <w:rStyle w:val="Character15"/>
          <w:color w:val="44546A"/>
          <w:sz w:val="24"/>
          <w:szCs w:val="24"/>
        </w:rPr>
        <w:t xml:space="preserve">κε από το κάθε σύστημα και μέσα από την διαχρονική εξέλιξη να απαντηθεί κατά πόσο συνέβαλε </w:t>
      </w:r>
      <w:r>
        <w:rPr>
          <w:rStyle w:val="Character15"/>
          <w:color w:val="44546A"/>
          <w:sz w:val="24"/>
          <w:szCs w:val="24"/>
        </w:rPr>
        <w:t xml:space="preserve">ή όχι το κράτος πρόνοιας και που βρίσκονται τα όρια της συμβολής του στον τομέα της υγείας.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a3"/>
        <w:numPr>
          <w:ilvl w:val="1"/>
          <w:numId w:val="3"/>
        </w:numPr>
        <w:jc w:val="both"/>
        <w:spacing w:line="360" w:lineRule="auto" w:after="200"/>
        <w:contextualSpacing w:val="1"/>
        <w:ind w:left="1440" w:hanging="360"/>
        <w:rPr>
          <w:b/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0"/>
          <w:b/>
          <w:color w:val="44546A"/>
          <w:sz w:val="24"/>
          <w:szCs w:val="24"/>
        </w:rPr>
        <w:t xml:space="preserve">Κοινωνική πολιτική στην Ευρώπη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Ιστορικά γεγονότα όπως η Γαλλική , Οκτωβριανή και βιομηχανική επανάσταση , ο πρώτος και δε</w:t>
      </w:r>
      <w:r>
        <w:rPr>
          <w:rStyle w:val="Character15"/>
          <w:color w:val="44546A"/>
          <w:sz w:val="24"/>
          <w:szCs w:val="24"/>
        </w:rPr>
        <w:t xml:space="preserve">ύτερος παγκόσμιος πόλεμος οδήγησαν  στην ανάπτυξη δύο  ενώσεων  στην Ευρώπη ( ΕΣΣΔ ,ΕΕ ), </w:t>
      </w:r>
      <w:r>
        <w:rPr>
          <w:rStyle w:val="Character15"/>
          <w:color w:val="44546A"/>
          <w:sz w:val="24"/>
          <w:szCs w:val="24"/>
        </w:rPr>
        <w:t xml:space="preserve">που με το πέρασμα των χρόνων ανέπτυσσαν κοινά πολιτισμικά και πολιτικά στοιχεία ( </w:t>
      </w:r>
      <w:r>
        <w:rPr>
          <w:rStyle w:val="Character15"/>
          <w:color w:val="44546A"/>
          <w:sz w:val="24"/>
          <w:szCs w:val="24"/>
        </w:rPr>
        <w:t xml:space="preserve">Hobsbawm ,2008 ). Κοινή διαπίστωση και στους δύο σχηματισμούς  είναι η αδυναμίας ενός κράτ</w:t>
      </w:r>
      <w:r>
        <w:rPr>
          <w:rStyle w:val="Character15"/>
          <w:color w:val="44546A"/>
          <w:sz w:val="24"/>
          <w:szCs w:val="24"/>
        </w:rPr>
        <w:t xml:space="preserve">ους να ναι αυτάρκες και να μην αλληλοεπιδρά πολιτικά και οικονομικά με άλλα κράτη ( Μαρξ , </w:t>
      </w:r>
      <w:r>
        <w:rPr>
          <w:rStyle w:val="Character15"/>
          <w:color w:val="44546A"/>
          <w:sz w:val="24"/>
          <w:szCs w:val="24"/>
        </w:rPr>
        <w:t xml:space="preserve">1998 ). Λόγω της πτώσης της Σοβιετικής Ένωσης , θα αναλυθεί η πορεία της κοινωνικής πολιτική</w:t>
      </w:r>
      <w:r>
        <w:rPr>
          <w:rStyle w:val="Character15"/>
          <w:color w:val="44546A"/>
          <w:sz w:val="24"/>
          <w:szCs w:val="24"/>
        </w:rPr>
        <w:t xml:space="preserve">ς στην Ευρωπαϊκή Ένωση και τις εκάστοτε χώρες μέλη.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2.1. Διαχρονική εξέλιξη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61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2802255</wp:posOffset>
            </wp:positionV>
            <wp:extent cx="2614930" cy="2446655"/>
            <wp:effectExtent l="0" t="0" r="0" b="0"/>
            <wp:wrapTopAndBottom/>
            <wp:docPr id="16" name="Picture 1" descr="/storage/emulated/0/.polaris_temp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5565" cy="24472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2701925</wp:posOffset>
            </wp:positionV>
            <wp:extent cx="2891155" cy="2785110"/>
            <wp:effectExtent l="0" t="0" r="4445" b="0"/>
            <wp:wrapTopAndBottom/>
            <wp:docPr id="17" name="Picture 2" descr="/storage/emulated/0/.polaris_temp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1790" cy="278574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Η υπογραφή της συνθήκης της Ρώμης τον Μάρτιο του 1957 , συμπίπτει με την επεκτατική πολιτι</w:t>
      </w:r>
      <w:r>
        <w:rPr>
          <w:rStyle w:val="Character15"/>
          <w:color w:val="44546A"/>
          <w:sz w:val="24"/>
          <w:szCs w:val="24"/>
        </w:rPr>
        <w:t xml:space="preserve">κή του κράτους πρόνοιας : το άρθρο 2 αναφέρει ως στόχο την κοινωνική αποστολή της ένωσης κα</w:t>
      </w:r>
      <w:r>
        <w:rPr>
          <w:rStyle w:val="Character15"/>
          <w:color w:val="44546A"/>
          <w:sz w:val="24"/>
          <w:szCs w:val="24"/>
        </w:rPr>
        <w:t xml:space="preserve">ι την ανάγκη για εναρμόνιση της βιομηχανικής ανάπτυξης με το βιοτικό επίπεδο, τα άρθρο 117 κ</w:t>
      </w:r>
      <w:r>
        <w:rPr>
          <w:rStyle w:val="Character15"/>
          <w:color w:val="44546A"/>
          <w:sz w:val="24"/>
          <w:szCs w:val="24"/>
        </w:rPr>
        <w:t xml:space="preserve">αι 118 αναφέρονται στην κοινωνική προστασία , την ασφάλεια στο χώρο εργασίας , την πρόληψη </w:t>
      </w:r>
      <w:r>
        <w:rPr>
          <w:rStyle w:val="Character15"/>
          <w:color w:val="44546A"/>
          <w:sz w:val="24"/>
          <w:szCs w:val="24"/>
        </w:rPr>
        <w:t xml:space="preserve">ενώ τα άρθρο 123-127 προβλέπουν την ίδρυση Ευρωπαϊκού κοινωνικού Ταμείου. Η συνθήκη του </w:t>
      </w:r>
      <w:r>
        <w:rPr>
          <w:rStyle w:val="Character15"/>
          <w:color w:val="44546A"/>
          <w:sz w:val="24"/>
          <w:szCs w:val="24"/>
        </w:rPr>
        <w:t xml:space="preserve">Μάαστριχτ ( Φεβρουάριος 1992 ), που έθεσε τις βάσεις τις οικονομικής ενοποίησης, διατήρησε τ</w:t>
      </w:r>
      <w:r>
        <w:rPr>
          <w:rStyle w:val="Character15"/>
          <w:color w:val="44546A"/>
          <w:sz w:val="24"/>
          <w:szCs w:val="24"/>
        </w:rPr>
        <w:t xml:space="preserve">α παραπάνω άρθρα, όπως και η Συνθήκη του Άμστερνταμ ( 2 Οκτωβρίου 1997 ). Η συνθήκη της </w:t>
      </w:r>
      <w:r>
        <w:rPr>
          <w:rStyle w:val="Character15"/>
          <w:color w:val="44546A"/>
          <w:sz w:val="24"/>
          <w:szCs w:val="24"/>
        </w:rPr>
        <w:t xml:space="preserve">Λισαβώνας επικυρώνει στους τότε στόχους για την δεκαετία 2000-2010, την μεταστροφή σε διαφ</w:t>
      </w:r>
      <w:r>
        <w:rPr>
          <w:rStyle w:val="Character15"/>
          <w:color w:val="44546A"/>
          <w:sz w:val="24"/>
          <w:szCs w:val="24"/>
        </w:rPr>
        <w:t xml:space="preserve">ορετικό μοντέλο κράτους πρόνοιας( Υφαντόπουλος et al, 2009 ).Με βάση τα παραπάνω θα αποτυ</w:t>
      </w:r>
      <w:r>
        <w:rPr>
          <w:rStyle w:val="Character15"/>
          <w:color w:val="44546A"/>
          <w:sz w:val="24"/>
          <w:szCs w:val="24"/>
        </w:rPr>
        <w:t xml:space="preserve">πωθούν οι αλλαγές και τα δεδομένα στα παρακάτω γραφήματα.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Γράφημα 1.                                                                     Γράφημα 2.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6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6189345" cy="4001134"/>
            <wp:effectExtent l="0" t="0" r="1905" b="0"/>
            <wp:wrapTopAndBottom/>
            <wp:docPr id="19" name="Picture 4" descr="/storage/emulated/0/.polaris_temp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image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9980" cy="40017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Γράφημα 3. ( Πηγή ESPROS , ανακτήθηκε 28/12/2015 )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6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6189345" cy="3255645"/>
            <wp:effectExtent l="0" t="0" r="1905" b="1905"/>
            <wp:wrapTopAndBottom/>
            <wp:docPr id="20" name="Picture 6" descr="/storage/emulated/0/.polaris_temp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image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9980" cy="32562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Γράφημα 4. ( Πηγή ESPROS, ανακτήθηκε 28/12/2015 )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2.2 . Κατηγορίες Συστημάτων ανά ομάδες κρατών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 Titmuss   πρότεινε τρία μοντέλα  για την μελέτη της  άσκησης κοινωνικής πολιτικής:</w:t>
      </w:r>
    </w:p>
    <w:p>
      <w:pPr>
        <w:pStyle w:val="a3"/>
        <w:numPr>
          <w:ilvl w:val="0"/>
          <w:numId w:val="4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υπολειμματικό, στο οποίο η εκπλήρωση της κοινωνικής πολιτικής περιορίζεται στο επί</w:t>
      </w:r>
      <w:r>
        <w:rPr>
          <w:rStyle w:val="Character15"/>
          <w:color w:val="44546A"/>
          <w:sz w:val="24"/>
          <w:szCs w:val="24"/>
        </w:rPr>
        <w:t xml:space="preserve">πεδο του ατόμου και της οικογένειας, με το κράτος να λειτουργεί ως δίχτυ ασφαλείας .</w:t>
      </w:r>
    </w:p>
    <w:p>
      <w:pPr>
        <w:pStyle w:val="a3"/>
        <w:numPr>
          <w:ilvl w:val="0"/>
          <w:numId w:val="5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βιομηχανικό, στο οποίο η εκπλήρωση της κοινωνικής πολιτικής βασίζεται στη θέση το</w:t>
      </w:r>
      <w:r>
        <w:rPr>
          <w:rStyle w:val="Character15"/>
          <w:color w:val="44546A"/>
          <w:sz w:val="24"/>
          <w:szCs w:val="24"/>
        </w:rPr>
        <w:t xml:space="preserve">υ ατόμου στην παραγωγή. </w:t>
      </w:r>
    </w:p>
    <w:p>
      <w:pPr>
        <w:pStyle w:val="a3"/>
        <w:numPr>
          <w:ilvl w:val="0"/>
          <w:numId w:val="5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 θεσμικό, στο οποίο η εκπλήρωση της κοινωνικής πολιτικής βασίζεται στην καθολική </w:t>
      </w:r>
      <w:r>
        <w:rPr>
          <w:rStyle w:val="Character15"/>
          <w:color w:val="44546A"/>
          <w:sz w:val="24"/>
          <w:szCs w:val="24"/>
        </w:rPr>
        <w:t xml:space="preserve">συμμετοχή τον πολιτών και στην αναδιανομή του εισοδήματος ( Titmuss,1974 ).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Εμφανίσθηκε επίσης το μεικτό το οποίο προσπάθησε να απαντήσει στις νέες ανάγκες δομώντας τ</w:t>
      </w:r>
      <w:r>
        <w:rPr>
          <w:rStyle w:val="Character15"/>
          <w:color w:val="44546A"/>
          <w:sz w:val="24"/>
          <w:szCs w:val="24"/>
        </w:rPr>
        <w:t xml:space="preserve">ον《τρίτο δρόμο 》 για την υπέρβαση των αντιφάσεων των  παραπάνω ( Giddens,1994 ) 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1990 και μετά από μακροχρόνια συγκριτική έρευνα στα νεωτερικά ανεπτυγμένα κράτη πρόνο</w:t>
      </w:r>
      <w:r>
        <w:rPr>
          <w:rStyle w:val="Character15"/>
          <w:color w:val="44546A"/>
          <w:sz w:val="24"/>
          <w:szCs w:val="24"/>
        </w:rPr>
        <w:t xml:space="preserve">ιας, ο Esping-Andersen καθιέρωσε τον νέο όρο  «καθεστώτα προνοιακού καπιταλισμού», ο οποίο</w:t>
      </w:r>
      <w:r>
        <w:rPr>
          <w:rStyle w:val="Character15"/>
          <w:color w:val="44546A"/>
          <w:sz w:val="24"/>
          <w:szCs w:val="24"/>
        </w:rPr>
        <w:t xml:space="preserve">ς χρησιμοποιείται πλέον ευρύτατα, και συχνά σε συντομία «προνοιακά καθεστώτα» (Esping – </w:t>
      </w:r>
      <w:r>
        <w:rPr>
          <w:rStyle w:val="Character15"/>
          <w:color w:val="44546A"/>
          <w:sz w:val="24"/>
          <w:szCs w:val="24"/>
        </w:rPr>
        <w:t xml:space="preserve">Andersen 1991). Με βάση αυτή τη διάκριση , ο Esping-Andersen εντόπισε τρία μοντέλα( Esping-</w:t>
      </w:r>
      <w:r>
        <w:rPr>
          <w:rStyle w:val="Character15"/>
          <w:color w:val="44546A"/>
          <w:sz w:val="24"/>
          <w:szCs w:val="24"/>
        </w:rPr>
        <w:t xml:space="preserve">Andersen, 1990 )  :</w:t>
      </w:r>
    </w:p>
    <w:p>
      <w:pPr>
        <w:pStyle w:val="a3"/>
        <w:numPr>
          <w:ilvl w:val="0"/>
          <w:numId w:val="6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φιλελεύθερο στο οποίο η κοινωνική πολιτική εφαρμόζεται με πυρήνα το υπολειμματικ</w:t>
      </w:r>
      <w:r>
        <w:rPr>
          <w:rStyle w:val="Character15"/>
          <w:color w:val="44546A"/>
          <w:sz w:val="24"/>
          <w:szCs w:val="24"/>
        </w:rPr>
        <w:t xml:space="preserve">ό μοντέλο. Στον ευρωπαϊκό χώρο όπως παρατηρούμε από τα προηγούμενα διαγράμματα  ε</w:t>
      </w:r>
      <w:r>
        <w:rPr>
          <w:rStyle w:val="Character15"/>
          <w:color w:val="44546A"/>
          <w:sz w:val="24"/>
          <w:szCs w:val="24"/>
        </w:rPr>
        <w:t xml:space="preserve">μφανίζεται στην Βρετανία και την Ιρλανδία. </w:t>
      </w:r>
    </w:p>
    <w:p>
      <w:pPr>
        <w:pStyle w:val="a3"/>
        <w:numPr>
          <w:ilvl w:val="0"/>
          <w:numId w:val="7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συντηρητικό στο οποίο η κοινωνική πολιτική εφαρμόζεται με πυρήνα το βιομηχανικό </w:t>
      </w:r>
      <w:r>
        <w:rPr>
          <w:rStyle w:val="Character15"/>
          <w:color w:val="44546A"/>
          <w:sz w:val="24"/>
          <w:szCs w:val="24"/>
        </w:rPr>
        <w:t xml:space="preserve">μοντέλο. Στην Ευρώπη αντιστοιχίζεται  στη Γερμανία, τη  Γαλλία, την Αυστρία, το Βέλγιο.</w:t>
      </w:r>
    </w:p>
    <w:p>
      <w:pPr>
        <w:pStyle w:val="a3"/>
        <w:numPr>
          <w:ilvl w:val="0"/>
          <w:numId w:val="7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σοσιαλδημοκρατικό μοντέλο στο οποίο η κοινωνική  πολιτική εφαρμόζεται με πυρήνα </w:t>
      </w:r>
      <w:r>
        <w:rPr>
          <w:rStyle w:val="Character15"/>
          <w:color w:val="44546A"/>
          <w:sz w:val="24"/>
          <w:szCs w:val="24"/>
        </w:rPr>
        <w:t xml:space="preserve">το θεσμικό/αναδιανεμητικό μοντέλο . Στην Ευρώπη παρατηρείται  στις Σκανδιναβικές Χώ</w:t>
      </w:r>
      <w:r>
        <w:rPr>
          <w:rStyle w:val="Character15"/>
          <w:color w:val="44546A"/>
          <w:sz w:val="24"/>
          <w:szCs w:val="24"/>
        </w:rPr>
        <w:t xml:space="preserve">ρες 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2.3 . Η περίπτωση του Νότου.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Από την ανάλυση των γραφημάτων 1 έως 4 , παρατηρείται μια ομαδοποίηση χωρών του Νότου , σ</w:t>
      </w:r>
      <w:r>
        <w:rPr>
          <w:rStyle w:val="Character15"/>
          <w:color w:val="44546A"/>
          <w:sz w:val="24"/>
          <w:szCs w:val="24"/>
        </w:rPr>
        <w:t xml:space="preserve">υγκεκριμένα της Ελλάδας, της Ισπανίας και της Πορτογαλίας, η οποία δεν κατατάσσεται στα πρ</w:t>
      </w:r>
      <w:r>
        <w:rPr>
          <w:rStyle w:val="Character15"/>
          <w:color w:val="44546A"/>
          <w:sz w:val="24"/>
          <w:szCs w:val="24"/>
        </w:rPr>
        <w:t xml:space="preserve">οηγούμενα μοντέλα και ταυτόχρονα παρουσιάζει τους χαμηλότερους δείκτες.  Σύμφωνα με το </w:t>
      </w:r>
      <w:r>
        <w:rPr>
          <w:rStyle w:val="Character15"/>
          <w:color w:val="44546A"/>
          <w:sz w:val="24"/>
          <w:szCs w:val="24"/>
        </w:rPr>
        <w:t xml:space="preserve">Ferrera το νότιο μοντέλο περιλαμβάνει στοιχεία από το μοντέλο Bismark ( συντηρητικό ),στους τ</w:t>
      </w:r>
      <w:r>
        <w:rPr>
          <w:rStyle w:val="Character15"/>
          <w:color w:val="44546A"/>
          <w:sz w:val="24"/>
          <w:szCs w:val="24"/>
        </w:rPr>
        <w:t xml:space="preserve">ομείς της κοινωνικής ασφάλισης και προστασίας, και από το μοντέλο Beveridge ( θεσμικό ) στου</w:t>
      </w:r>
      <w:r>
        <w:rPr>
          <w:rStyle w:val="Character15"/>
          <w:color w:val="44546A"/>
          <w:sz w:val="24"/>
          <w:szCs w:val="24"/>
        </w:rPr>
        <w:t xml:space="preserve">ς τομείς της υγείας (Δίκαιος, Χλέτσος 1999 ).  Σύμφωνα με το μοντέλο αυτό κοινά χαρακτηριστι</w:t>
      </w:r>
      <w:r>
        <w:rPr>
          <w:rStyle w:val="Character15"/>
          <w:color w:val="44546A"/>
          <w:sz w:val="24"/>
          <w:szCs w:val="24"/>
        </w:rPr>
        <w:t xml:space="preserve">κά των χωρών του νότου είναι ( Ferrera,1996 ) :</w:t>
      </w:r>
    </w:p>
    <w:p>
      <w:pPr>
        <w:pStyle w:val="a3"/>
        <w:numPr>
          <w:ilvl w:val="0"/>
          <w:numId w:val="8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Πολύχρονες δικτατορίες την εποχή της δημιουργίας του κράτους πρόνοιας </w:t>
      </w:r>
    </w:p>
    <w:p>
      <w:pPr>
        <w:pStyle w:val="a3"/>
        <w:numPr>
          <w:ilvl w:val="0"/>
          <w:numId w:val="9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Δημιουργία αστικού κράτους την εποχή της κρίσης και της νεοφιλελεύθερης ανάκαμψης</w:t>
      </w:r>
    </w:p>
    <w:p>
      <w:pPr>
        <w:pStyle w:val="a3"/>
        <w:numPr>
          <w:ilvl w:val="0"/>
          <w:numId w:val="9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Έντονη μορφή πελατειακών σχέσεων στον κρατικό μηχανισμό</w:t>
      </w:r>
    </w:p>
    <w:p>
      <w:pPr>
        <w:pStyle w:val="a3"/>
        <w:numPr>
          <w:ilvl w:val="0"/>
          <w:numId w:val="9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Χαμηλή αποδοτικότητα κοινωνικών υπηρεσιών</w:t>
      </w:r>
    </w:p>
    <w:p>
      <w:pPr>
        <w:pStyle w:val="a3"/>
        <w:numPr>
          <w:ilvl w:val="0"/>
          <w:numId w:val="9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Ανισομερής καταμερισμός κοινωνικής προστασίας</w:t>
      </w:r>
    </w:p>
    <w:p>
      <w:pPr>
        <w:pStyle w:val="a3"/>
        <w:numPr>
          <w:ilvl w:val="0"/>
          <w:numId w:val="9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Καθολική πρόσβαση στα εθνικά συστήματα υγείας</w:t>
      </w:r>
    </w:p>
    <w:p>
      <w:pPr>
        <w:pStyle w:val="a3"/>
        <w:numPr>
          <w:ilvl w:val="0"/>
          <w:numId w:val="9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Άνισος και άδικος καταμερισμός του φορολογικού βάρους</w:t>
      </w:r>
    </w:p>
    <w:p>
      <w:pPr>
        <w:pStyle w:val="a3"/>
        <w:numPr>
          <w:ilvl w:val="0"/>
          <w:numId w:val="9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Υψηλός βαθμός μεταβιβαστικών πληρωμών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5"/>
        <w:spacing w:line="360" w:lineRule="auto" w:after="200"/>
        <w:ind w:left="36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a3"/>
        <w:numPr>
          <w:ilvl w:val="1"/>
          <w:numId w:val="10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Κοινωνικές ανάγκες και υγεία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Μία  διάκριση των αναγκών είναι ανάμεσα σε γνήσιες και επίκτητες, ατομικές και κοινωνικές . </w:t>
      </w:r>
      <w:r>
        <w:rPr>
          <w:rStyle w:val="Character15"/>
          <w:color w:val="44546A"/>
          <w:sz w:val="24"/>
          <w:szCs w:val="24"/>
        </w:rPr>
        <w:t xml:space="preserve">Οι διάφοροι τρόποι κάλυψης  βασικών αναγκών δημιουργούν δευτερεύουσες ανάγκες όχι μόνο λό</w:t>
      </w:r>
      <w:r>
        <w:rPr>
          <w:rStyle w:val="Character15"/>
          <w:color w:val="44546A"/>
          <w:sz w:val="24"/>
          <w:szCs w:val="24"/>
        </w:rPr>
        <w:t xml:space="preserve">γω εθισμού των ανθρώπων σε ορισμένες γεύσεις ή τρόπους ζωής, αλλά  γιατί η καθημερινότητά τ</w:t>
      </w:r>
      <w:r>
        <w:rPr>
          <w:rStyle w:val="Character15"/>
          <w:color w:val="44546A"/>
          <w:sz w:val="24"/>
          <w:szCs w:val="24"/>
        </w:rPr>
        <w:t xml:space="preserve">ους διαμορφώνεται , ώστε να μην μπορούν να λειτουργήσουν χωρίς την κάλυψη αυτών. Η επίτευξ</w:t>
      </w:r>
      <w:r>
        <w:rPr>
          <w:rStyle w:val="Character15"/>
          <w:color w:val="44546A"/>
          <w:sz w:val="24"/>
          <w:szCs w:val="24"/>
        </w:rPr>
        <w:t xml:space="preserve">η του κέρδους και ο τρόπος που λειτουργεί η οικονομία στις καπιταλιστικές κοινωνίες συμβάλλο</w:t>
      </w:r>
      <w:r>
        <w:rPr>
          <w:rStyle w:val="Character15"/>
          <w:color w:val="44546A"/>
          <w:sz w:val="24"/>
          <w:szCs w:val="24"/>
        </w:rPr>
        <w:t xml:space="preserve">υν σε μεγάλο βαθμό στην δημιουργία επίκτητων αναγκών.  Η επιθυμία έχει έναν καθοριστικό υπο</w:t>
      </w:r>
      <w:r>
        <w:rPr>
          <w:rStyle w:val="Character15"/>
          <w:color w:val="44546A"/>
          <w:sz w:val="24"/>
          <w:szCs w:val="24"/>
        </w:rPr>
        <w:t xml:space="preserve">κειμενικό παράγοντα, ενώ η ανάγκη υπάρχει ακόμα και όταν το  άτομο δεν  την εκφράζει. Μία ά</w:t>
      </w:r>
      <w:r>
        <w:rPr>
          <w:rStyle w:val="Character15"/>
          <w:color w:val="44546A"/>
          <w:sz w:val="24"/>
          <w:szCs w:val="24"/>
        </w:rPr>
        <w:t xml:space="preserve">λλη  άποψη είναι αυτή της «κοινωνικής κατασκευής» των αναγκών  και της μετατροπής των ανθρ</w:t>
      </w:r>
      <w:r>
        <w:rPr>
          <w:rStyle w:val="Character15"/>
          <w:color w:val="44546A"/>
          <w:sz w:val="24"/>
          <w:szCs w:val="24"/>
        </w:rPr>
        <w:t xml:space="preserve">ώπων από ενεργά υποκείμενα σε παθητικά αντικείμενα.  Η  κοινωνία,  δημιουργεί τις συνθήκες ε</w:t>
      </w:r>
      <w:r>
        <w:rPr>
          <w:rStyle w:val="Character15"/>
          <w:color w:val="44546A"/>
          <w:sz w:val="24"/>
          <w:szCs w:val="24"/>
        </w:rPr>
        <w:t xml:space="preserve">ξάρτησης και αποκλεισμού και μετά καλείται η κοινωνική πολιτική να αναπτύξει μέτρα διαχείρι</w:t>
      </w:r>
      <w:r>
        <w:rPr>
          <w:rStyle w:val="Character15"/>
          <w:color w:val="44546A"/>
          <w:sz w:val="24"/>
          <w:szCs w:val="24"/>
        </w:rPr>
        <w:t xml:space="preserve">σής τους. Ιδιαίτερα στο χώρο τις υγείας είναι πολύ δύσκολο να προσεγγιστεί ποιες είναι οι ουσια</w:t>
      </w:r>
      <w:r>
        <w:rPr>
          <w:rStyle w:val="Character15"/>
          <w:color w:val="44546A"/>
          <w:sz w:val="24"/>
          <w:szCs w:val="24"/>
        </w:rPr>
        <w:t xml:space="preserve">στικές ανάγκες , οι οποίες χρίζουν άμεσης κάλυψης , και ποιες είναι οι επίκτητες ( απόρροια της </w:t>
      </w:r>
      <w:r>
        <w:rPr>
          <w:rStyle w:val="Character15"/>
          <w:color w:val="44546A"/>
          <w:sz w:val="24"/>
          <w:szCs w:val="24"/>
        </w:rPr>
        <w:t xml:space="preserve">τεχνολογικής προόδου , της εμπορευματοποίησης της υγείας , της παραϊατρικής, των κοινωνικών </w:t>
      </w:r>
      <w:r>
        <w:rPr>
          <w:rStyle w:val="Character15"/>
          <w:color w:val="44546A"/>
          <w:sz w:val="24"/>
          <w:szCs w:val="24"/>
        </w:rPr>
        <w:t xml:space="preserve">κατασκευών ), αν και όπως παρατηρούμε στα γραφήματα 5 και 6 θεωρείται η υγεία από τις βασι</w:t>
      </w:r>
      <w:r>
        <w:rPr>
          <w:rStyle w:val="Character15"/>
          <w:color w:val="44546A"/>
          <w:sz w:val="24"/>
          <w:szCs w:val="24"/>
        </w:rPr>
        <w:t xml:space="preserve">κότερες των αναγκών . Στην παρούσα ενότητα θα αναλυθούν στοιχεία με βάση στατιστικές κατα</w:t>
      </w:r>
      <w:r>
        <w:rPr>
          <w:rStyle w:val="Character15"/>
          <w:color w:val="44546A"/>
          <w:sz w:val="24"/>
          <w:szCs w:val="24"/>
        </w:rPr>
        <w:t xml:space="preserve">γραφές για τις δαπάνες  και τις ανεκπλήρωτες ανάγκες όπως αποτυπώνονται στα δεδομένα του </w:t>
      </w:r>
      <w:r>
        <w:rPr>
          <w:rStyle w:val="Character15"/>
          <w:color w:val="44546A"/>
          <w:sz w:val="24"/>
          <w:szCs w:val="24"/>
        </w:rPr>
        <w:t xml:space="preserve">OECD.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65" behindDoc="0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354965</wp:posOffset>
            </wp:positionV>
            <wp:extent cx="3073400" cy="2872740"/>
            <wp:effectExtent l="0" t="0" r="0" b="3810"/>
            <wp:wrapTopAndBottom/>
            <wp:docPr id="23" name="Picture 8" descr="/storage/emulated/0/.polaris_temp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image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4035" cy="28733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389255</wp:posOffset>
            </wp:positionV>
            <wp:extent cx="3139440" cy="2948940"/>
            <wp:effectExtent l="0" t="0" r="3810" b="3810"/>
            <wp:wrapTopAndBottom/>
            <wp:docPr id="24" name="Picture 10" descr="/storage/emulated/0/.polaris_temp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storage/emulated/0/.polaris_temp/image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0075" cy="29495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Γράφημα 5.                                                                     Γράφημα 6. ( Maslow, 1954 )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3.1 Τι δαπανούμε ;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6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558165</wp:posOffset>
            </wp:positionV>
            <wp:extent cx="6189980" cy="926465"/>
            <wp:effectExtent l="0" t="0" r="0" b="0"/>
            <wp:wrapTopAndBottom/>
            <wp:docPr id="25" name="Picture 12" descr="/storage/emulated/0/.polaris_temp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/storage/emulated/0/.polaris_temp/image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0615" cy="92710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Στην ερώτηση τι δαπανούμε θα απαντήσουμε στα παρακάτω γραφήματα με   βάση τα στατιστικά </w:t>
      </w:r>
      <w:r>
        <w:rPr>
          <w:rStyle w:val="Character15"/>
          <w:color w:val="44546A"/>
          <w:sz w:val="24"/>
          <w:szCs w:val="24"/>
        </w:rPr>
        <w:t xml:space="preserve">δεδομένα του OECD.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Γράφημα 7: Δημόσιες δαπάνες υγείας ( ανακτήθηκε 29/12/15 )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67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322580</wp:posOffset>
            </wp:positionV>
            <wp:extent cx="6190615" cy="845185"/>
            <wp:effectExtent l="0" t="0" r="0" b="0"/>
            <wp:wrapTopAndBottom/>
            <wp:docPr id="29" name="Picture 14" descr="/storage/emulated/0/.polaris_temp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/storage/emulated/0/.polaris_temp/image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1250" cy="8458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Γράφημα 8 : Ιδιωτικές δαπάνες υγείας ( ανακτήθηκε 29/12/15 )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Γράφημα 9. Συνολικές δαπάνες υγείας ( ανακτήθηκε 29/12/15 )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6189345" cy="1132205"/>
            <wp:effectExtent l="0" t="0" r="0" b="0"/>
            <wp:wrapTopAndBottom/>
            <wp:docPr id="30" name="Picture 16" descr="/storage/emulated/0/.polaris_temp/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/storage/emulated/0/.polaris_temp/image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9980" cy="11328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3.2 Τι χρειαζόμαστε ;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70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595630</wp:posOffset>
            </wp:positionV>
            <wp:extent cx="2670810" cy="2755900"/>
            <wp:effectExtent l="0" t="0" r="0" b="6350"/>
            <wp:wrapTopAndBottom/>
            <wp:docPr id="31" name="Picture 18" descr="/storage/emulated/0/.polaris_temp/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/storage/emulated/0/.polaris_temp/image1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71445" cy="27565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69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598170</wp:posOffset>
            </wp:positionV>
            <wp:extent cx="2727325" cy="2895600"/>
            <wp:effectExtent l="0" t="0" r="0" b="0"/>
            <wp:wrapTopAndBottom/>
            <wp:docPr id="32" name="Picture 20" descr="/storage/emulated/0/.polaris_temp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_temp/image1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7960" cy="28962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Στο ερώτημα τη χρειαζόμαστε θα συγκρίνουμε μια σειρά στατιστικών από εκθέσεις του OECD π</w:t>
      </w:r>
      <w:r>
        <w:rPr>
          <w:rStyle w:val="Character15"/>
          <w:color w:val="44546A"/>
          <w:sz w:val="24"/>
          <w:szCs w:val="24"/>
        </w:rPr>
        <w:t xml:space="preserve">ου αφορούν την καταγραφή των ανεκπλήρωτων αναγκών  ( OECD , 2014).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72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3328035</wp:posOffset>
            </wp:positionV>
            <wp:extent cx="2566035" cy="3099435"/>
            <wp:effectExtent l="0" t="0" r="0" b="0"/>
            <wp:wrapTopAndBottom/>
            <wp:docPr id="33" name="Picture 22" descr="/storage/emulated/0/.polaris_temp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_temp/image1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6670" cy="31000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71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3222625</wp:posOffset>
            </wp:positionV>
            <wp:extent cx="2996565" cy="3202940"/>
            <wp:effectExtent l="0" t="0" r="0" b="0"/>
            <wp:wrapTopAndBottom/>
            <wp:docPr id="34" name="Picture 24" descr="/storage/emulated/0/.polaris_temp/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_temp/image1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97200" cy="32035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Γράφημα 10.                                                                 Γράφημα 11.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Γράφημα 12.                                                                  Γράφημα 13.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74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390525</wp:posOffset>
            </wp:positionV>
            <wp:extent cx="2778125" cy="2389505"/>
            <wp:effectExtent l="0" t="0" r="0" b="0"/>
            <wp:wrapTopAndBottom/>
            <wp:docPr id="35" name="Picture 26" descr="/storage/emulated/0/.polaris_temp/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_temp/image13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8760" cy="23901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73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213100" cy="2573655"/>
            <wp:effectExtent l="0" t="0" r="6350" b="0"/>
            <wp:wrapTopAndBottom/>
            <wp:docPr id="36" name="Picture 28" descr="/storage/emulated/0/.polaris_temp/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_temp/image1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13735" cy="25742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Γράφημα 14.                                                               Γράφημα 15.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Αν συγκρίνουμε τα γραφήματα 10 έως 15 με τα γραφήματα 7 έως 9 εξάγουμε τα εξής συμπεράσμ</w:t>
      </w:r>
      <w:r>
        <w:rPr>
          <w:rStyle w:val="Character15"/>
          <w:color w:val="44546A"/>
          <w:sz w:val="24"/>
          <w:szCs w:val="24"/>
        </w:rPr>
        <w:t xml:space="preserve">ατα : </w:t>
      </w:r>
    </w:p>
    <w:p>
      <w:pPr>
        <w:pStyle w:val="a3"/>
        <w:numPr>
          <w:ilvl w:val="0"/>
          <w:numId w:val="11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Το ποσοστό των ιδιωτικών δαπανών δε συσχετίζεται με την προσβασιμότητα σε δομές , οπ</w:t>
      </w:r>
      <w:r>
        <w:rPr>
          <w:rStyle w:val="Character15"/>
          <w:color w:val="44546A"/>
          <w:sz w:val="24"/>
          <w:szCs w:val="24"/>
        </w:rPr>
        <w:t xml:space="preserve">ότε  χώρες με υψηλό ποσοστό δαπανών στον ιδιωτικό τομέα παρουσιάζουν μικρό ποσοστό </w:t>
      </w:r>
      <w:r>
        <w:rPr>
          <w:rStyle w:val="Character15"/>
          <w:color w:val="44546A"/>
          <w:sz w:val="24"/>
          <w:szCs w:val="24"/>
        </w:rPr>
        <w:t xml:space="preserve">ανεκπλήρωτων αναγκών για τα μεσαία και ανώτερα στρώματα.</w:t>
      </w:r>
    </w:p>
    <w:p>
      <w:pPr>
        <w:pStyle w:val="a3"/>
        <w:numPr>
          <w:ilvl w:val="0"/>
          <w:numId w:val="1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 χώρες με χαμηλό ποσοστό δημόσιων δαπανών παρουσιάζουν μεγαλύτερο ποσοστό ανεκ</w:t>
      </w:r>
      <w:r>
        <w:rPr>
          <w:rStyle w:val="Character15"/>
          <w:color w:val="44546A"/>
          <w:sz w:val="24"/>
          <w:szCs w:val="24"/>
        </w:rPr>
        <w:t xml:space="preserve">πλήρωτων αναγκών λόγω μη διαθεσιμότητας των δομών υγείας, κυρίως για τα χαμηλά στρ</w:t>
      </w:r>
      <w:r>
        <w:rPr>
          <w:rStyle w:val="Character15"/>
          <w:color w:val="44546A"/>
          <w:sz w:val="24"/>
          <w:szCs w:val="24"/>
        </w:rPr>
        <w:t xml:space="preserve">ώματα .</w:t>
      </w:r>
    </w:p>
    <w:p>
      <w:pPr>
        <w:pStyle w:val="a3"/>
        <w:numPr>
          <w:ilvl w:val="0"/>
          <w:numId w:val="1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 χώρες του θεσμικού μοντέλου ( σκανδιναβικές )  παρουσιάζουν υψηλά ποσοστά ανεκπ</w:t>
      </w:r>
      <w:r>
        <w:rPr>
          <w:rStyle w:val="Character15"/>
          <w:color w:val="44546A"/>
          <w:sz w:val="24"/>
          <w:szCs w:val="24"/>
        </w:rPr>
        <w:t xml:space="preserve">λήρωτων αναγκών παρά τις σχετικά υψηλές δαπάνες .</w:t>
      </w:r>
    </w:p>
    <w:p>
      <w:pPr>
        <w:pStyle w:val="a3"/>
        <w:numPr>
          <w:ilvl w:val="0"/>
          <w:numId w:val="1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 χώρες του συντηρητικού μοντέλου παρουσιάζουν υψηλές ιδιωτικές δαπάνες , παρουσιά</w:t>
      </w:r>
      <w:r>
        <w:rPr>
          <w:rStyle w:val="Character15"/>
          <w:color w:val="44546A"/>
          <w:sz w:val="24"/>
          <w:szCs w:val="24"/>
        </w:rPr>
        <w:t xml:space="preserve">ζουν και χαμηλές ανεκπλήρωτες. Να σημειωθεί βέβαια ότι παρουσιάζουν τις υψηλότερες </w:t>
      </w:r>
      <w:r>
        <w:rPr>
          <w:rStyle w:val="Character15"/>
          <w:color w:val="44546A"/>
          <w:sz w:val="24"/>
          <w:szCs w:val="24"/>
        </w:rPr>
        <w:t xml:space="preserve">δημόσιες .</w:t>
      </w:r>
    </w:p>
    <w:p>
      <w:pPr>
        <w:pStyle w:val="a3"/>
        <w:numPr>
          <w:ilvl w:val="0"/>
          <w:numId w:val="1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 χώρες του φιλελεύθερου μοντέλου παρουσιάζουν χαμηλές δαπάνες και σχετικά χαμηλ</w:t>
      </w:r>
      <w:r>
        <w:rPr>
          <w:rStyle w:val="Character15"/>
          <w:color w:val="44546A"/>
          <w:sz w:val="24"/>
          <w:szCs w:val="24"/>
        </w:rPr>
        <w:t xml:space="preserve">ές ανεκπλήρωτες ανάγκες  ,οι οποίες συμπίπτουν σε όλα τα κοινωνικά στρώματα .</w:t>
      </w:r>
    </w:p>
    <w:p>
      <w:pPr>
        <w:pStyle w:val="a3"/>
        <w:numPr>
          <w:ilvl w:val="0"/>
          <w:numId w:val="1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 χώρες του νότου παρουσιάζουν τις χαμηλότερες δαπάνες και τις υψηλότερες ανεκπλήρ</w:t>
      </w:r>
      <w:r>
        <w:rPr>
          <w:rStyle w:val="Character15"/>
          <w:color w:val="44546A"/>
          <w:sz w:val="24"/>
          <w:szCs w:val="24"/>
        </w:rPr>
        <w:t xml:space="preserve">ωτες  ανάγκες , κυρίως στο επίπεδο του κόστους.</w:t>
      </w:r>
    </w:p>
    <w:p>
      <w:pPr>
        <w:pStyle w:val="a3"/>
        <w:numPr>
          <w:ilvl w:val="0"/>
          <w:numId w:val="12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Παρά τις διαφορές οι χώρες και των τριών μοντέλων έχουν παραπλήσιο ποσοστό δαπανών </w:t>
      </w:r>
      <w:r>
        <w:rPr>
          <w:rStyle w:val="Character15"/>
          <w:color w:val="44546A"/>
          <w:sz w:val="24"/>
          <w:szCs w:val="24"/>
        </w:rPr>
        <w:t xml:space="preserve">( δημοσίων και ιδιωτικών ) με εξαίρεση την περίπτωση του νότου. Μεγαλύτερες αποκλείσε</w:t>
      </w:r>
      <w:r>
        <w:rPr>
          <w:rStyle w:val="Character15"/>
          <w:color w:val="44546A"/>
          <w:sz w:val="24"/>
          <w:szCs w:val="24"/>
        </w:rPr>
        <w:t xml:space="preserve">ις παρουσιάζονται στις ανεκπλήρωτες ανάγκες όπως αναφέρθηκε προηγουμένως.</w:t>
      </w:r>
    </w:p>
    <w:p>
      <w:pPr>
        <w:pStyle w:val="Para14"/>
        <w:spacing w:line="360" w:lineRule="auto" w:after="200"/>
        <w:contextualSpacing w:val="1"/>
        <w:ind w:left="720" w:firstLine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a3"/>
        <w:numPr>
          <w:ilvl w:val="1"/>
          <w:numId w:val="10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Παράγοντες κοινωνικής πολιτικής και σύστημα υγείας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Παρ’ όλο που τα εθνικά κράτη έχουν ακόμα  ρόλο στην άσκηση κοινωνικής πολιτικής, οι παράγ</w:t>
      </w:r>
      <w:r>
        <w:rPr>
          <w:rStyle w:val="Character15"/>
          <w:color w:val="44546A"/>
          <w:sz w:val="24"/>
          <w:szCs w:val="24"/>
        </w:rPr>
        <w:t xml:space="preserve">οντες διαμόρφωσής της βρίσκονται σε μεγάλο βαθμό εκτός της εμβέλειάς τους. Η παγκοσμιοποί</w:t>
      </w:r>
      <w:r>
        <w:rPr>
          <w:rStyle w:val="Character15"/>
          <w:color w:val="44546A"/>
          <w:sz w:val="24"/>
          <w:szCs w:val="24"/>
        </w:rPr>
        <w:t xml:space="preserve">ηση ανασυντάσσει το όλο πλαίσιο, καθώς προωθείται η περιφερειοποίηση  ώστε εμφανίζεται η θε</w:t>
      </w:r>
      <w:r>
        <w:rPr>
          <w:rStyle w:val="Character15"/>
          <w:color w:val="44546A"/>
          <w:sz w:val="24"/>
          <w:szCs w:val="24"/>
        </w:rPr>
        <w:t xml:space="preserve">ώρηση για παγκοσμιοτοπικές  σχέσεις. Η υπερεθνική διάσταση της πολιτικής υγείας βασίζεται σ</w:t>
      </w:r>
      <w:r>
        <w:rPr>
          <w:rStyle w:val="Character15"/>
          <w:color w:val="44546A"/>
          <w:sz w:val="24"/>
          <w:szCs w:val="24"/>
        </w:rPr>
        <w:t xml:space="preserve">ε τρεις άξονες :</w:t>
      </w:r>
    </w:p>
    <w:p>
      <w:pPr>
        <w:pStyle w:val="a3"/>
        <w:numPr>
          <w:ilvl w:val="0"/>
          <w:numId w:val="13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Την Ευρωπαϊκή κοινή πολιτική μέσω των κοινών θεσμών της ΕΕ</w:t>
      </w:r>
    </w:p>
    <w:p>
      <w:pPr>
        <w:pStyle w:val="a3"/>
        <w:numPr>
          <w:ilvl w:val="0"/>
          <w:numId w:val="14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Τη διεθνή με βάση τη δράση αντίστοιχων οργανισμών όπως ο Παγκόσμιος Οργανισμός Υγ</w:t>
      </w:r>
      <w:r>
        <w:rPr>
          <w:rStyle w:val="Character15"/>
          <w:color w:val="44546A"/>
          <w:sz w:val="24"/>
          <w:szCs w:val="24"/>
        </w:rPr>
        <w:t>είας</w:t>
      </w:r>
    </w:p>
    <w:p>
      <w:pPr>
        <w:pStyle w:val="a3"/>
        <w:numPr>
          <w:ilvl w:val="0"/>
          <w:numId w:val="14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Τη δραστηριοποίηση κινημάτων σε διεθνές επίπεδο και την συγκρότηση διακρατικών δομ</w:t>
      </w:r>
      <w:r>
        <w:rPr>
          <w:rStyle w:val="Character15"/>
          <w:color w:val="44546A"/>
          <w:sz w:val="24"/>
          <w:szCs w:val="24"/>
        </w:rPr>
        <w:t xml:space="preserve">ών αλληλεγγύης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Διαμορφώνεται λοιπόν μια παγκόσμια οικονομική αναστάτωση : την εποχή του προνοιακού καπι</w:t>
      </w:r>
      <w:r>
        <w:rPr>
          <w:rStyle w:val="Character15"/>
          <w:color w:val="44546A"/>
          <w:sz w:val="24"/>
          <w:szCs w:val="24"/>
        </w:rPr>
        <w:t xml:space="preserve">ταλισμού οι βιομηχανικοί εργάτες μπορούσαν να υπολογίζουν σε μια σταθερή και επαρκώς ( σχε</w:t>
      </w:r>
      <w:r>
        <w:rPr>
          <w:rStyle w:val="Character15"/>
          <w:color w:val="44546A"/>
          <w:sz w:val="24"/>
          <w:szCs w:val="24"/>
        </w:rPr>
        <w:t xml:space="preserve">τικά ) αμειβόμενη εργασία , κάτι που σήμερα φαντάζει αδύνατο για το σύνολο των εργαζομένων. </w:t>
      </w:r>
      <w:r>
        <w:rPr>
          <w:rStyle w:val="Character15"/>
          <w:color w:val="44546A"/>
          <w:sz w:val="24"/>
          <w:szCs w:val="24"/>
        </w:rPr>
        <w:t xml:space="preserve">Ο σύγχρονος κοινωνικός αποκλεισμός που δομείται μοιάζει με το κοινωνικό ζήτημα της δεκαετί</w:t>
      </w:r>
      <w:r>
        <w:rPr>
          <w:rStyle w:val="Character15"/>
          <w:color w:val="44546A"/>
          <w:sz w:val="24"/>
          <w:szCs w:val="24"/>
        </w:rPr>
        <w:t xml:space="preserve">ας του 30 (Espring-Andersen , 2006 ). Τα προσωπικά προβλήματα τελικά μετατρέπονται σε δημόσ</w:t>
      </w:r>
      <w:r>
        <w:rPr>
          <w:rStyle w:val="Character15"/>
          <w:color w:val="44546A"/>
          <w:sz w:val="24"/>
          <w:szCs w:val="24"/>
        </w:rPr>
        <w:t xml:space="preserve">ια ( Mills C.W. , 1956 )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4.1. Παράγοντες και δείκτες κοινωνικής πολιτικής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 παράγοντες που αποτελούν δείκτες για την ανάλυση των συστημάτων υγείας είναι :</w:t>
      </w:r>
    </w:p>
    <w:p>
      <w:pPr>
        <w:pStyle w:val="a3"/>
        <w:numPr>
          <w:ilvl w:val="0"/>
          <w:numId w:val="15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Ενδονοσοκομιακή περίθαλψη</w:t>
      </w:r>
    </w:p>
    <w:p>
      <w:pPr>
        <w:pStyle w:val="a3"/>
        <w:numPr>
          <w:ilvl w:val="0"/>
          <w:numId w:val="16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Εξωνοσοκομιακή περίθαλψη </w:t>
      </w:r>
    </w:p>
    <w:p>
      <w:pPr>
        <w:pStyle w:val="a3"/>
        <w:numPr>
          <w:ilvl w:val="0"/>
          <w:numId w:val="16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Φροντίδα μακροχρόνιου διαστήματος </w:t>
      </w:r>
    </w:p>
    <w:p>
      <w:pPr>
        <w:pStyle w:val="a3"/>
        <w:numPr>
          <w:ilvl w:val="0"/>
          <w:numId w:val="16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>Πρόληψη</w:t>
      </w:r>
    </w:p>
    <w:p>
      <w:pPr>
        <w:pStyle w:val="a3"/>
        <w:numPr>
          <w:ilvl w:val="0"/>
          <w:numId w:val="16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Διαχείριση πόρων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 παράγοντες οι οποίοι επηρεάζουν τις ασκούμενες πολιτικές στα συστήματα υγείας είναι :  </w:t>
      </w:r>
    </w:p>
    <w:p>
      <w:pPr>
        <w:pStyle w:val="a3"/>
        <w:numPr>
          <w:ilvl w:val="0"/>
          <w:numId w:val="17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Οικονομικοί : Ο βαθμός της παρεμβατικότητας του κράτους στην χρηματοδότηση της υγε</w:t>
      </w:r>
      <w:r>
        <w:rPr>
          <w:rStyle w:val="Character15"/>
          <w:color w:val="44546A"/>
          <w:sz w:val="24"/>
          <w:szCs w:val="24"/>
        </w:rPr>
        <w:t xml:space="preserve">ίας,  η πηγή χρηματοδότησης των δαπανών για την υγεία, ο βαθμός συμμετοχής των ασφαλ</w:t>
      </w:r>
      <w:r>
        <w:rPr>
          <w:rStyle w:val="Character15"/>
          <w:color w:val="44546A"/>
          <w:sz w:val="24"/>
          <w:szCs w:val="24"/>
        </w:rPr>
        <w:t xml:space="preserve">ιστικών ταμείων ,η συσχέτιση της θέσης στην κατανομή εργασίας του ασθενή με την ποιό</w:t>
      </w:r>
      <w:r>
        <w:rPr>
          <w:rStyle w:val="Character15"/>
          <w:color w:val="44546A"/>
          <w:sz w:val="24"/>
          <w:szCs w:val="24"/>
        </w:rPr>
        <w:t xml:space="preserve">τητα παροχών, ο τρόπος ασφάλισης των εργαζομένων.</w:t>
      </w:r>
    </w:p>
    <w:p>
      <w:pPr>
        <w:pStyle w:val="a3"/>
        <w:numPr>
          <w:ilvl w:val="0"/>
          <w:numId w:val="18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Περιβαλλοντικοί: Μόλυνση , συνθήκες διαβίωσης</w:t>
      </w:r>
    </w:p>
    <w:p>
      <w:pPr>
        <w:pStyle w:val="a3"/>
        <w:numPr>
          <w:ilvl w:val="0"/>
          <w:numId w:val="18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Δημογραφικοί: γήρανση του πληθυσμού , μετανάστευση , κοινωνική διαστρωμάτωση</w:t>
      </w:r>
    </w:p>
    <w:p>
      <w:pPr>
        <w:pStyle w:val="a3"/>
        <w:numPr>
          <w:ilvl w:val="0"/>
          <w:numId w:val="18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Πολιτισμικοί : τρόπος ζωής ( κάπνισμα , αλκοόλ ), ήθη, έθιμα , οικογένεια</w:t>
      </w:r>
    </w:p>
    <w:p>
      <w:pPr>
        <w:pStyle w:val="a3"/>
        <w:numPr>
          <w:ilvl w:val="0"/>
          <w:numId w:val="18"/>
        </w:numPr>
        <w:jc w:val="both"/>
        <w:spacing w:line="360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Υγειονομικοί : τρόπος λειτουργίας νοσοκομείων , γραφειοκρατία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Σε αυτό το σημείο έχει αξία να αναφερθεί σύντομα πως το κάθε μοντέλο αντιμετωπίζει ( και άρα </w:t>
      </w:r>
      <w:r>
        <w:rPr>
          <w:rStyle w:val="Character15"/>
          <w:color w:val="44546A"/>
          <w:sz w:val="24"/>
          <w:szCs w:val="24"/>
        </w:rPr>
        <w:t xml:space="preserve">επηρεάζεται ) από τους παραπάνω παράγοντες. Το νεοφιλελεύθερο μοντέλο δίνει έμφαση στην ιδι</w:t>
      </w:r>
      <w:r>
        <w:rPr>
          <w:rStyle w:val="Character15"/>
          <w:color w:val="44546A"/>
          <w:sz w:val="24"/>
          <w:szCs w:val="24"/>
        </w:rPr>
        <w:t xml:space="preserve">ωτική πρωτοβουλία στην ασφάλιση, με μειωμένη κρατική παρεμβατικότητα, μόνο σε περιπτώσει</w:t>
      </w:r>
      <w:r>
        <w:rPr>
          <w:rStyle w:val="Character15"/>
          <w:color w:val="44546A"/>
          <w:sz w:val="24"/>
          <w:szCs w:val="24"/>
        </w:rPr>
        <w:t xml:space="preserve">ς οπού κρίνεται αναγκαίο. Επιβεβαιώνεται έτσι ο διαχωρισμός με βάση την ισότητα προς τα κάτ</w:t>
      </w:r>
      <w:r>
        <w:rPr>
          <w:rStyle w:val="Character15"/>
          <w:color w:val="44546A"/>
          <w:sz w:val="24"/>
          <w:szCs w:val="24"/>
        </w:rPr>
        <w:t xml:space="preserve">ω. Το συντηρητικό μοντέλο βασίζεται στις αρχές της Ανταποδοτικότητας, του κορπορατισμού κ</w:t>
      </w:r>
      <w:r>
        <w:rPr>
          <w:rStyle w:val="Character15"/>
          <w:color w:val="44546A"/>
          <w:sz w:val="24"/>
          <w:szCs w:val="24"/>
        </w:rPr>
        <w:t xml:space="preserve">αι της Επικουρικότητας, οι πολίτες βασίζονται στην εργασιακή τους θέση και την βοήθεια από τ</w:t>
      </w:r>
      <w:r>
        <w:rPr>
          <w:rStyle w:val="Character15"/>
          <w:color w:val="44546A"/>
          <w:sz w:val="24"/>
          <w:szCs w:val="24"/>
        </w:rPr>
        <w:t xml:space="preserve">ην οικογένεια ενώ ο ιδιωτικός τομέας είναι περιορισμένος. Το σοσιαλδημοκρατικό μοντέλο κυρι</w:t>
      </w:r>
      <w:r>
        <w:rPr>
          <w:rStyle w:val="Character15"/>
          <w:color w:val="44546A"/>
          <w:sz w:val="24"/>
          <w:szCs w:val="24"/>
        </w:rPr>
        <w:t xml:space="preserve">αρχεί η αποεμπορευματοποίηση των κοινωνικών υπηρεσιών και η καθολική πρόσβαση σε αυτές, </w:t>
      </w:r>
      <w:r>
        <w:rPr>
          <w:rStyle w:val="Character15"/>
          <w:color w:val="44546A"/>
          <w:sz w:val="24"/>
          <w:szCs w:val="24"/>
        </w:rPr>
        <w:t xml:space="preserve">που επεκτείνεται στα μεσαία στρώματα.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4.2 Η ελληνική περίπτωση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7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2154555</wp:posOffset>
            </wp:positionV>
            <wp:extent cx="2775585" cy="2282825"/>
            <wp:effectExtent l="0" t="0" r="5715" b="3810"/>
            <wp:wrapTopAndBottom/>
            <wp:docPr id="40" name="Picture 30" descr="/storage/emulated/0/.polaris_temp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_temp/image1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76220" cy="22834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75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2152015</wp:posOffset>
            </wp:positionV>
            <wp:extent cx="2711450" cy="2476500"/>
            <wp:effectExtent l="0" t="0" r="0" b="0"/>
            <wp:wrapTopAndBottom/>
            <wp:docPr id="41" name="Picture 32" descr="/storage/emulated/0/.polaris_temp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/storage/emulated/0/.polaris_temp/image1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2085" cy="24771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Όπως αναφέρθηκε πριν η Ελλάδα ανήκει σε ένα ιδιότυπο μοντέλο του νότου. Οι υπηρεσίες υγείας </w:t>
      </w:r>
      <w:r>
        <w:rPr>
          <w:rStyle w:val="Character15"/>
          <w:color w:val="44546A"/>
          <w:sz w:val="24"/>
          <w:szCs w:val="24"/>
        </w:rPr>
        <w:t xml:space="preserve">είναι προσβάσιμες σε όλους, όμως η κοινωνική ασφάλιση καθορίζεται από τη θέση στην εργασία. </w:t>
      </w:r>
      <w:r>
        <w:rPr>
          <w:rStyle w:val="Character15"/>
          <w:color w:val="44546A"/>
          <w:sz w:val="24"/>
          <w:szCs w:val="24"/>
        </w:rPr>
        <w:t xml:space="preserve">Επίσης κυριαρχεί η γραφειοκρατία , το πελατειακό κράτος και η περιορισμένη δυνατότητα επένδ</w:t>
      </w:r>
      <w:r>
        <w:rPr>
          <w:rStyle w:val="Character15"/>
          <w:color w:val="44546A"/>
          <w:sz w:val="24"/>
          <w:szCs w:val="24"/>
        </w:rPr>
        <w:t xml:space="preserve">υσης σε νέες τεχνολογίες. Σύμφωνα με μελέτη, σημαντικό χαρακτηριστικό της διάρθρωσης των δ</w:t>
      </w:r>
      <w:r>
        <w:rPr>
          <w:rStyle w:val="Character15"/>
          <w:color w:val="44546A"/>
          <w:sz w:val="24"/>
          <w:szCs w:val="24"/>
        </w:rPr>
        <w:t xml:space="preserve">απανών αποτελεί η έλλειψη σταθερότητας στους χρηματοδοτούμενους κλάδους για την προώθησ</w:t>
      </w:r>
      <w:r>
        <w:rPr>
          <w:rStyle w:val="Character15"/>
          <w:color w:val="44546A"/>
          <w:sz w:val="24"/>
          <w:szCs w:val="24"/>
        </w:rPr>
        <w:t xml:space="preserve">η της υγείας (Αγραφιώτης et al, 1994 ). Αποτελέσματα των παραπάνω είναι η υψηλή κατανάλωση </w:t>
      </w:r>
      <w:r>
        <w:rPr>
          <w:rStyle w:val="Character15"/>
          <w:color w:val="44546A"/>
          <w:sz w:val="24"/>
          <w:szCs w:val="24"/>
        </w:rPr>
        <w:t xml:space="preserve">δαπανών χωρίς την αντίστοιχη αποτελεσματικότητα στην ανάπτυξη δομών όπως διαπιστώνεται α</w:t>
      </w:r>
      <w:r>
        <w:rPr>
          <w:rStyle w:val="Character15"/>
          <w:color w:val="44546A"/>
          <w:sz w:val="24"/>
          <w:szCs w:val="24"/>
        </w:rPr>
        <w:t xml:space="preserve">πό στατιστικές του OECD ( OECD , 2015 ).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Γράφημα 16. ( ανακτήθηκε 30/12/15)                      Γράφημα 17. ( ανακτήθηκε 30/12/2015)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80" behindDoc="0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2766695</wp:posOffset>
            </wp:positionV>
            <wp:extent cx="2463800" cy="2185670"/>
            <wp:effectExtent l="0" t="0" r="0" b="5080"/>
            <wp:wrapTopAndBottom/>
            <wp:docPr id="42" name="Picture 34" descr="/storage/emulated/0/.polaris_temp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_temp/image1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4435" cy="218630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79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2697480</wp:posOffset>
            </wp:positionV>
            <wp:extent cx="2438400" cy="2249805"/>
            <wp:effectExtent l="0" t="0" r="0" b="0"/>
            <wp:wrapTopAndBottom/>
            <wp:docPr id="43" name="Picture 36" descr="/storage/emulated/0/.polaris_temp/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_temp/image1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9035" cy="22504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7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0</wp:posOffset>
            </wp:positionV>
            <wp:extent cx="2647950" cy="2393950"/>
            <wp:effectExtent l="0" t="0" r="0" b="6350"/>
            <wp:wrapTopAndBottom/>
            <wp:docPr id="44" name="Picture 38" descr="/storage/emulated/0/.polaris_temp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_temp/image1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8585" cy="239458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77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2604770" cy="2393950"/>
            <wp:effectExtent l="0" t="0" r="5080" b="6350"/>
            <wp:wrapTopAndBottom/>
            <wp:docPr id="45" name="Picture 40" descr="/storage/emulated/0/.polaris_temp/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_temp/image20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5405" cy="239458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 Γράφημα 18. ( ανακτήθηκε 30/12/15 )                           Γράφημα 19. ( ανακτήθηκε 30/12/15 )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sz w:val="20"/>
        </w:rPr>
        <w:drawing>
          <wp:anchor distT="0" distB="0" distL="114300" distR="114300" simplePos="0" relativeHeight="251624981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2544445</wp:posOffset>
            </wp:positionV>
            <wp:extent cx="2985770" cy="2504440"/>
            <wp:effectExtent l="0" t="0" r="5080" b="0"/>
            <wp:wrapTopAndBottom/>
            <wp:docPr id="46" name="Picture 42" descr="/storage/emulated/0/.polaris_temp/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_temp/image2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6405" cy="250507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82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2639695</wp:posOffset>
            </wp:positionV>
            <wp:extent cx="3138170" cy="2171700"/>
            <wp:effectExtent l="0" t="0" r="5080" b="0"/>
            <wp:wrapTopAndBottom/>
            <wp:docPr id="47" name="Picture 44" descr="/storage/emulated/0/.polaris_temp/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_temp/image22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38805" cy="217233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15"/>
          <w:color w:val="44546A"/>
          <w:sz w:val="24"/>
          <w:szCs w:val="24"/>
        </w:rPr>
        <w:t xml:space="preserve">Γράφημα 20. ( ανακτήθηκε 30/12/15 )                           Γράφημα 21. ( ανακτήθηκε 30/12/15 )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Γράφημα 22. ( ανακτήθηκε 30/12/15 )                      Γράφημα 23.( Allin , Masseria 2014 )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Όπως συνάγεται από τα γραφήματα 16 έως 23 , η Ελλάδα δαπανά κυρίως στην κάλυψη της ενδονο</w:t>
      </w:r>
      <w:r>
        <w:rPr>
          <w:rStyle w:val="Character15"/>
          <w:color w:val="44546A"/>
          <w:sz w:val="24"/>
          <w:szCs w:val="24"/>
        </w:rPr>
        <w:t xml:space="preserve">σοκομιακής περίθαλψης και της φαρμακευτικής αγωγής, γεγονός που οδηγεί στο συμπέρασμα ότ</w:t>
      </w:r>
      <w:r>
        <w:rPr>
          <w:rStyle w:val="Character15"/>
          <w:color w:val="44546A"/>
          <w:sz w:val="24"/>
          <w:szCs w:val="24"/>
        </w:rPr>
        <w:t xml:space="preserve">ι υποβαθμίζεται η πρόληψη και η σωστή διαχείριση . Όπως αναφέρθηκε προηγουμένως ενώ οι δαπ</w:t>
      </w:r>
      <w:r>
        <w:rPr>
          <w:rStyle w:val="Character15"/>
          <w:color w:val="44546A"/>
          <w:sz w:val="24"/>
          <w:szCs w:val="24"/>
        </w:rPr>
        <w:t xml:space="preserve">άνες είναι υψηλές , η αποδοτικότητα του καταμερισμού και της επένδυσής τους είναι χαμηλή.  Τ</w:t>
      </w:r>
      <w:r>
        <w:rPr>
          <w:rStyle w:val="Character15"/>
          <w:color w:val="44546A"/>
          <w:sz w:val="24"/>
          <w:szCs w:val="24"/>
        </w:rPr>
        <w:t xml:space="preserve">α παραπάνω σε συνδυασμό με την γήρανση του πληθυσμού και την αναντιστοιχία νέων εργαζομέ</w:t>
      </w:r>
      <w:r>
        <w:rPr>
          <w:rStyle w:val="Character15"/>
          <w:color w:val="44546A"/>
          <w:sz w:val="24"/>
          <w:szCs w:val="24"/>
        </w:rPr>
        <w:t xml:space="preserve">νων ( ασφαλιστικές εισφορές ) και συνταξιούχων ( μεγαλύτερες ανάγκες σε δαπάνες υγείας ) ,δη</w:t>
      </w:r>
      <w:r>
        <w:rPr>
          <w:rStyle w:val="Character15"/>
          <w:color w:val="44546A"/>
          <w:sz w:val="24"/>
          <w:szCs w:val="24"/>
        </w:rPr>
        <w:t xml:space="preserve">μιουργούν μια κατάσταση όπου το παρόν μοντέλο υγείας στην Ελλάδα δεν προσανατολίζεται στη</w:t>
      </w:r>
      <w:r>
        <w:rPr>
          <w:rStyle w:val="Character15"/>
          <w:color w:val="44546A"/>
          <w:sz w:val="24"/>
          <w:szCs w:val="24"/>
        </w:rPr>
        <w:t xml:space="preserve">ν επίλυση των αιτιών, όπως ο έλεγχος της περιβαλλοντικής υγιεινής, η διαχείριση των νέων τεχνο</w:t>
      </w:r>
      <w:r>
        <w:rPr>
          <w:rStyle w:val="Character15"/>
          <w:color w:val="44546A"/>
          <w:sz w:val="24"/>
          <w:szCs w:val="24"/>
        </w:rPr>
        <w:t xml:space="preserve">λογιών , η μελέτη του τρόπου ζωής , η μετανάστευση και η ανεργία των νέων εργαζομένων, αλλά </w:t>
      </w:r>
      <w:r>
        <w:rPr>
          <w:rStyle w:val="Character15"/>
          <w:color w:val="44546A"/>
          <w:sz w:val="24"/>
          <w:szCs w:val="24"/>
        </w:rPr>
        <w:t xml:space="preserve">στην αντιμετώπιση των συμπτωμάτων, αυξάνοντας έτσι το κόστος.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Βέβαια αν γίνει αντιληπτή η συνολική εικόνα ,η Ελλάδα δεν αποτελεί μια εξαίρεση αλλά ένα λιγό</w:t>
      </w:r>
      <w:r>
        <w:rPr>
          <w:rStyle w:val="Character15"/>
          <w:color w:val="44546A"/>
          <w:sz w:val="24"/>
          <w:szCs w:val="24"/>
        </w:rPr>
        <w:t xml:space="preserve">τερο αποτελεσματικό παράδειγμα. Αν και παρουσιάζει χαμηλούς δείκτες στην επένδυση , δε διαφ</w:t>
      </w:r>
      <w:r>
        <w:rPr>
          <w:rStyle w:val="Character15"/>
          <w:color w:val="44546A"/>
          <w:sz w:val="24"/>
          <w:szCs w:val="24"/>
        </w:rPr>
        <w:t xml:space="preserve">έρει σε μεγάλο βαθμό από το σύνολο των υπολοίπων κρατών. Να σημειωθεί εδώ ότι στα προπύργι</w:t>
      </w:r>
      <w:r>
        <w:rPr>
          <w:rStyle w:val="Character15"/>
          <w:color w:val="44546A"/>
          <w:sz w:val="24"/>
          <w:szCs w:val="24"/>
        </w:rPr>
        <w:t xml:space="preserve">α του νεοφιλελευθερισμού ,τις ΗΠΑ και τη Χιλή ,οι κρατικές δαπάνες μειώνονται δραματικά, χ</w:t>
      </w:r>
      <w:r>
        <w:rPr>
          <w:rStyle w:val="Character15"/>
          <w:color w:val="44546A"/>
          <w:sz w:val="24"/>
          <w:szCs w:val="24"/>
        </w:rPr>
        <w:t xml:space="preserve">ωρίς αντίστοιχη αύξηση της πρόληψης αλλά του  ιδιωτικού κέρδους, κάτι που αποτελεί παγκόσμι</w:t>
      </w:r>
      <w:r>
        <w:rPr>
          <w:rStyle w:val="Character15"/>
          <w:color w:val="44546A"/>
          <w:sz w:val="24"/>
          <w:szCs w:val="24"/>
        </w:rPr>
        <w:t xml:space="preserve">α τάση.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a3"/>
        <w:numPr>
          <w:ilvl w:val="1"/>
          <w:numId w:val="10"/>
        </w:numPr>
        <w:jc w:val="both"/>
        <w:spacing w:line="360" w:lineRule="auto" w:after="200"/>
        <w:contextualSpacing w:val="1"/>
        <w:ind w:left="144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>Συμπεράσματα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Παρά τις διαφορετικές μορφές του κράτους πρόνοιας, παρατηρείται μια γενικότερη καθίζηση το</w:t>
      </w:r>
      <w:r>
        <w:rPr>
          <w:rStyle w:val="Character15"/>
          <w:color w:val="44546A"/>
          <w:sz w:val="24"/>
          <w:szCs w:val="24"/>
        </w:rPr>
        <w:t xml:space="preserve">υ βιοτικού επιπέδου. Και οι τρεις μορφές του προνοιακού αστικού κράτους, παρά τις μικρές διαφ</w:t>
      </w:r>
      <w:r>
        <w:rPr>
          <w:rStyle w:val="Character15"/>
          <w:color w:val="44546A"/>
          <w:sz w:val="24"/>
          <w:szCs w:val="24"/>
        </w:rPr>
        <w:t xml:space="preserve">οροποιήσεις τους , κινούνται ταυτόσημα σχεδόν σε κάθε οικονομική περίοδο. Χαρακτηριστική εί</w:t>
      </w:r>
      <w:r>
        <w:rPr>
          <w:rStyle w:val="Character15"/>
          <w:color w:val="44546A"/>
          <w:sz w:val="24"/>
          <w:szCs w:val="24"/>
        </w:rPr>
        <w:t xml:space="preserve">ναι η αποτυχία και των τριών μοντέλων να αντιμετωπίσουν την οικονομική κρίση, παρά μόνο με </w:t>
      </w:r>
      <w:r>
        <w:rPr>
          <w:rStyle w:val="Character15"/>
          <w:color w:val="44546A"/>
          <w:sz w:val="24"/>
          <w:szCs w:val="24"/>
        </w:rPr>
        <w:t xml:space="preserve">την διεξαγωγή κάποιου πολέμου. Δημιουργείται λοιπόν το ερώτημα κατά πόσο χρειάζεται η κοιν</w:t>
      </w:r>
      <w:r>
        <w:rPr>
          <w:rStyle w:val="Character15"/>
          <w:color w:val="44546A"/>
          <w:sz w:val="24"/>
          <w:szCs w:val="24"/>
        </w:rPr>
        <w:t xml:space="preserve">ωνική πολιτική στα πλαίσια του αστικού κράτους πρόνοιας. Καταρχήν  οι ίδιοι οι άνθρωποι που </w:t>
      </w:r>
      <w:r>
        <w:rPr>
          <w:rStyle w:val="Character15"/>
          <w:color w:val="44546A"/>
          <w:sz w:val="24"/>
          <w:szCs w:val="24"/>
        </w:rPr>
        <w:t xml:space="preserve">πλήττονται από την φτώχεια ή άλλα προβλήματα θεωρούνται υπαίτιοι της κατάστασης στην οποί</w:t>
      </w:r>
      <w:r>
        <w:rPr>
          <w:rStyle w:val="Character15"/>
          <w:color w:val="44546A"/>
          <w:sz w:val="24"/>
          <w:szCs w:val="24"/>
        </w:rPr>
        <w:t xml:space="preserve">α έχουν περιέλθει.  Είναι η   «αρχή της ενοχοποίησης του θύματος», η οποία αποτελεί μία ολόκλη</w:t>
      </w:r>
      <w:r>
        <w:rPr>
          <w:rStyle w:val="Character15"/>
          <w:color w:val="44546A"/>
          <w:sz w:val="24"/>
          <w:szCs w:val="24"/>
        </w:rPr>
        <w:t xml:space="preserve">ρη διαδικασία που καταλήγει να αναγορεύονται σε αιτίες του προβλήματος τα αποτελέσματά του </w:t>
      </w:r>
      <w:r>
        <w:rPr>
          <w:rStyle w:val="Character15"/>
          <w:color w:val="44546A"/>
          <w:sz w:val="24"/>
          <w:szCs w:val="24"/>
        </w:rPr>
        <w:t xml:space="preserve">( πχ. η υποβάθμιση, η παραβατική συμπεριφορά). Το επόμενο βήμα είναι να δημιουργηθεί ένα πρό</w:t>
      </w:r>
      <w:r>
        <w:rPr>
          <w:rStyle w:val="Character15"/>
          <w:color w:val="44546A"/>
          <w:sz w:val="24"/>
          <w:szCs w:val="24"/>
        </w:rPr>
        <w:t xml:space="preserve">γραμμα με τους κατάλληλους ειδικούς για να ... διορθώσει αυτές τις διαφορές (Bytheway,1990 ). </w:t>
      </w:r>
      <w:r>
        <w:rPr>
          <w:rStyle w:val="Character15"/>
          <w:color w:val="44546A"/>
          <w:sz w:val="24"/>
          <w:szCs w:val="24"/>
        </w:rPr>
        <w:t xml:space="preserve">Η θέσπιση κοινωνικών δικαιωμάτων  δεν συνεπάγεται απαραίτητα την εξάλειψη της κοινωνικής </w:t>
      </w:r>
      <w:r>
        <w:rPr>
          <w:rStyle w:val="Character15"/>
          <w:color w:val="44546A"/>
          <w:sz w:val="24"/>
          <w:szCs w:val="24"/>
        </w:rPr>
        <w:t xml:space="preserve">ανισότητας στις καπιταλιστικές κοινωνίες,  καθώς δεν αλλάζει τις κύριες σχέσεις ανισότητας στ</w:t>
      </w:r>
      <w:r>
        <w:rPr>
          <w:rStyle w:val="Character15"/>
          <w:color w:val="44546A"/>
          <w:sz w:val="24"/>
          <w:szCs w:val="24"/>
        </w:rPr>
        <w:t xml:space="preserve">ις οποίες αυτές οι κοινωνίες εδραιώνονται ( Altouser 1965 ).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Εδώ αγγίζουμε πάλι το θεμελιώδες ζήτημα της σχέσης κοινωνικής πολιτικής και κοινωνικής αλλ</w:t>
      </w:r>
      <w:r>
        <w:rPr>
          <w:rStyle w:val="Character15"/>
          <w:color w:val="44546A"/>
          <w:sz w:val="24"/>
          <w:szCs w:val="24"/>
        </w:rPr>
        <w:t xml:space="preserve">αγής, και την εύστοχη διάκριση της  Ferge σε «κοινωνιακή»  και κοινωνική πολιτική . Σημαντικό  </w:t>
      </w:r>
      <w:r>
        <w:rPr>
          <w:rStyle w:val="Character15"/>
          <w:color w:val="44546A"/>
          <w:sz w:val="24"/>
          <w:szCs w:val="24"/>
        </w:rPr>
        <w:t xml:space="preserve">ρόλο στην αλλαγή οπτικής παίζουν  τα νέα  κινήματα της κοινωνικής πολιτικής,  ιδιαίτερα εκείν</w:t>
      </w:r>
      <w:r>
        <w:rPr>
          <w:rStyle w:val="Character15"/>
          <w:color w:val="44546A"/>
          <w:sz w:val="24"/>
          <w:szCs w:val="24"/>
        </w:rPr>
        <w:t xml:space="preserve">α που αφορούν τους κατεξοχήν χρήστες των κοινωνικών υπηρεσιών. Χωρίς να αρνούνται την σημ</w:t>
      </w:r>
      <w:r>
        <w:rPr>
          <w:rStyle w:val="Character15"/>
          <w:color w:val="44546A"/>
          <w:sz w:val="24"/>
          <w:szCs w:val="24"/>
        </w:rPr>
        <w:t xml:space="preserve">ασία των δομών, αναδεικνύουν την σημασία των κοινωνικών σχέσεων εξουσίας και της κατανομή</w:t>
      </w:r>
      <w:r>
        <w:rPr>
          <w:rStyle w:val="Character15"/>
          <w:color w:val="44546A"/>
          <w:sz w:val="24"/>
          <w:szCs w:val="24"/>
        </w:rPr>
        <w:t xml:space="preserve">ς της δύναμης στην κοινωνία., ενώ υιοθετούν μία άλλη προσέγγιση στον εκάστοτε λόγο που αρθρ</w:t>
      </w:r>
      <w:r>
        <w:rPr>
          <w:rStyle w:val="Character15"/>
          <w:color w:val="44546A"/>
          <w:sz w:val="24"/>
          <w:szCs w:val="24"/>
        </w:rPr>
        <w:t xml:space="preserve">ώνεται, χρησιμοποιώντας συγκεκριμένη γλώσσα για να εκφράσει, και συγχρόνως να κατασκευά</w:t>
      </w:r>
      <w:r>
        <w:rPr>
          <w:rStyle w:val="Character15"/>
          <w:color w:val="44546A"/>
          <w:sz w:val="24"/>
          <w:szCs w:val="24"/>
        </w:rPr>
        <w:t xml:space="preserve">σει κοινωνικές ταυτότητες  (Watson 2000).Ο Foucault επισημαίνει την δύναμη που έχει ο λόγος ω</w:t>
      </w:r>
      <w:r>
        <w:rPr>
          <w:rStyle w:val="Character15"/>
          <w:color w:val="44546A"/>
          <w:sz w:val="24"/>
          <w:szCs w:val="24"/>
        </w:rPr>
        <w:t xml:space="preserve">ς άσκηση εξουσίας, στο να χαρακτηρίζει και να κατασκευάζει τελικά κοινωνικές καταστάσεις </w:t>
      </w:r>
      <w:r>
        <w:rPr>
          <w:rStyle w:val="Character15"/>
          <w:color w:val="44546A"/>
          <w:sz w:val="24"/>
          <w:szCs w:val="24"/>
        </w:rPr>
        <w:t xml:space="preserve">αποκλεισμού ολόκληρων πληθυσμιακών ομάδων (Macherey ,2013).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Άρα δε χρειάζεται ένα εξυγχρονισμένο ή βελτιωμένο κράτος πρόνοιας, ούτε μια πιο δίκαιη κοινω</w:t>
      </w:r>
      <w:r>
        <w:rPr>
          <w:rStyle w:val="Character15"/>
          <w:color w:val="44546A"/>
          <w:sz w:val="24"/>
          <w:szCs w:val="24"/>
        </w:rPr>
        <w:t xml:space="preserve">νική πολιτική με βάση ένα 《κοινωφελές κράτος》 ,που θα αναπαράγει ανισότητες με στόχο την </w:t>
      </w:r>
      <w:r>
        <w:rPr>
          <w:rStyle w:val="Character15"/>
          <w:color w:val="44546A"/>
          <w:sz w:val="24"/>
          <w:szCs w:val="24"/>
        </w:rPr>
        <w:t xml:space="preserve">παραγόμενη κερδοφορία από την επίλυση τους ( Μηλιός, 2015 ).Χρειάζεται μια διαφορετική αντί</w:t>
      </w:r>
      <w:r>
        <w:rPr>
          <w:rStyle w:val="Character15"/>
          <w:color w:val="44546A"/>
          <w:sz w:val="24"/>
          <w:szCs w:val="24"/>
        </w:rPr>
        <w:t xml:space="preserve">ληψη για την κοινωνική αναπαραγωγή και τη σύνδεση κινημάτων και μορφών παραγωγής με την </w:t>
      </w:r>
      <w:r>
        <w:rPr>
          <w:rStyle w:val="Character15"/>
          <w:color w:val="44546A"/>
          <w:sz w:val="24"/>
          <w:szCs w:val="24"/>
        </w:rPr>
        <w:t xml:space="preserve">κεντρική εξουσία , που δε θα στοχοποιεί κοινωνικές ομάδες ούτε θα δρα με όρους φιλανθρωπίας </w:t>
      </w:r>
      <w:r>
        <w:rPr>
          <w:rStyle w:val="Character15"/>
          <w:color w:val="44546A"/>
          <w:sz w:val="24"/>
          <w:szCs w:val="24"/>
        </w:rPr>
        <w:t xml:space="preserve">( ανώτερου προς κατώτερου ) αλλά αλληλεγγύης. Από αυτό το πρίσμα έχει σημασία όχι μόνο το τ</w:t>
      </w:r>
      <w:r>
        <w:rPr>
          <w:rStyle w:val="Character15"/>
          <w:color w:val="44546A"/>
          <w:sz w:val="24"/>
          <w:szCs w:val="24"/>
        </w:rPr>
        <w:t xml:space="preserve">ι παρέχεται αλλά και το πως παρέχεται, δηλαδή με ποιους τρόπους, μέσα από ποιες σχέσεις  και </w:t>
      </w:r>
      <w:r>
        <w:rPr>
          <w:rStyle w:val="Character15"/>
          <w:color w:val="44546A"/>
          <w:sz w:val="24"/>
          <w:szCs w:val="24"/>
        </w:rPr>
        <w:t xml:space="preserve">στην βάση ποιου πλαισίου αρχών ( Μηλιός  , 2014 ) . Γι΄ αυτό παρουσιάζει μεγάλο ενδιαφέρον η μ</w:t>
      </w:r>
      <w:r>
        <w:rPr>
          <w:rStyle w:val="Character15"/>
          <w:color w:val="44546A"/>
          <w:sz w:val="24"/>
          <w:szCs w:val="24"/>
        </w:rPr>
        <w:t xml:space="preserve">ελέτη αναπαραγωγής κυρίαρχων εξουσιαστικών σχέσεων μέσα στους χώρους παροχής  υπηρεσιώ</w:t>
      </w:r>
      <w:r>
        <w:rPr>
          <w:rStyle w:val="Character15"/>
          <w:color w:val="44546A"/>
          <w:sz w:val="24"/>
          <w:szCs w:val="24"/>
        </w:rPr>
        <w:t xml:space="preserve">ν υγείας (η αναπαραγωγή πατριαρχικών σχέσεων μεταξύ ιατρικού και νοσηλευτικού προσωπικού, </w:t>
      </w:r>
      <w:r>
        <w:rPr>
          <w:rStyle w:val="Character15"/>
          <w:color w:val="44546A"/>
          <w:sz w:val="24"/>
          <w:szCs w:val="24"/>
        </w:rPr>
        <w:t xml:space="preserve">ή  ανταποδοτικών σχέσεων μεταξύ επαγγελματιών στις υπηρεσίες υγείας και νοσηλευόμενων). Χ</w:t>
      </w:r>
      <w:r>
        <w:rPr>
          <w:rStyle w:val="Character15"/>
          <w:color w:val="44546A"/>
          <w:sz w:val="24"/>
          <w:szCs w:val="24"/>
        </w:rPr>
        <w:t xml:space="preserve">ρειάζεται η μετάβαση  από το κράτος πρόνοιας  στην δημιουργία  μιας κοινωνίας της φροντίδας, </w:t>
      </w:r>
      <w:r>
        <w:rPr>
          <w:rStyle w:val="Character15"/>
          <w:color w:val="44546A"/>
          <w:sz w:val="24"/>
          <w:szCs w:val="24"/>
        </w:rPr>
        <w:t xml:space="preserve">όπου θα κάνουμε την υπέρβαση από  τα δίπολα ατομικό – συλλογικό, ιδιωτικό – δημόσιο, στην εν</w:t>
      </w:r>
      <w:r>
        <w:rPr>
          <w:rStyle w:val="Character15"/>
          <w:color w:val="44546A"/>
          <w:sz w:val="24"/>
          <w:szCs w:val="24"/>
        </w:rPr>
        <w:t xml:space="preserve">ότητα του ανθρώπινου πράττειν με τον πράττονται, τον άνθρωπο. Στην άρνηση της άρνησης της α</w:t>
      </w:r>
      <w:r>
        <w:rPr>
          <w:rStyle w:val="Character15"/>
          <w:color w:val="44546A"/>
          <w:sz w:val="24"/>
          <w:szCs w:val="24"/>
        </w:rPr>
        <w:t xml:space="preserve">νθρωπιάς του που θα είναι η μεγάλη κατάφαση (Holloway,2002). 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15"/>
          <w:color w:val="44546A"/>
          <w:sz w:val="24"/>
          <w:szCs w:val="24"/>
        </w:rPr>
        <w:t xml:space="preserve"> Η εξάρτηση των  κοινωνικών παροχών από την εκάστοτε περίοδο του καπιταλιστικού μοντέλου </w:t>
      </w:r>
      <w:r>
        <w:rPr>
          <w:rStyle w:val="Character15"/>
          <w:color w:val="44546A"/>
          <w:sz w:val="24"/>
          <w:szCs w:val="24"/>
        </w:rPr>
        <w:t xml:space="preserve">παραγωγής  και ιδιαίτερα η αδυναμία τους να δράσουν στην περίοδο κρίσης , δείχνει το δρόμο για </w:t>
      </w:r>
      <w:r>
        <w:rPr>
          <w:rStyle w:val="Character15"/>
          <w:color w:val="44546A"/>
          <w:sz w:val="24"/>
          <w:szCs w:val="24"/>
        </w:rPr>
        <w:t xml:space="preserve">την ανάπτυξη δομών όπως τα αλληλέγγυα κοινωνικά ιατρεία (Λάσκος,2015). Σε μια εποχή παγκο</w:t>
      </w:r>
      <w:r>
        <w:rPr>
          <w:rStyle w:val="Character15"/>
          <w:color w:val="44546A"/>
          <w:sz w:val="24"/>
          <w:szCs w:val="24"/>
        </w:rPr>
        <w:t xml:space="preserve">σμιοποίησης όμως και υπερεθνικών οικονομιών , τα παραδείγματα αυτά δεν αρκεί να λειτουργού</w:t>
      </w:r>
      <w:r>
        <w:rPr>
          <w:rStyle w:val="Character15"/>
          <w:color w:val="44546A"/>
          <w:sz w:val="24"/>
          <w:szCs w:val="24"/>
        </w:rPr>
        <w:t xml:space="preserve">ν ως νησίδες αλλά απαιτείται να συνδεθούν μεταξύ τους και με τα κινήματα των 《 αποκλεισμέν</w:t>
      </w:r>
      <w:r>
        <w:rPr>
          <w:rStyle w:val="Character15"/>
          <w:color w:val="44546A"/>
          <w:sz w:val="24"/>
          <w:szCs w:val="24"/>
        </w:rPr>
        <w:t xml:space="preserve">ων 》ώστε με τη σειρά τους να καταλήξουν στη δημιουργία ενός πολιτικού μοντέλου και όχι απλ</w:t>
      </w:r>
      <w:r>
        <w:rPr>
          <w:rStyle w:val="Character15"/>
          <w:color w:val="44546A"/>
          <w:sz w:val="24"/>
          <w:szCs w:val="24"/>
        </w:rPr>
        <w:t xml:space="preserve">ώς ενός  περιορισμένου οικονομικού ( Laclau, 1997 ).</w:t>
      </w: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1"/>
        <w:spacing w:line="360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8"/>
        <w:spacing w:line="312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8"/>
        <w:spacing w:line="312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8"/>
        <w:spacing w:line="312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8"/>
        <w:spacing w:line="312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8"/>
        <w:spacing w:line="312" w:lineRule="auto" w:after="200"/>
        <w:ind w:left="0" w:hanging="0"/>
        <w:rPr>
          <w:b/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0"/>
          <w:b/>
          <w:color w:val="44546A"/>
          <w:sz w:val="24"/>
          <w:szCs w:val="24"/>
        </w:rPr>
        <w:t>Βιβλιογραφία</w:t>
      </w:r>
    </w:p>
    <w:p>
      <w:pPr>
        <w:pStyle w:val="a3"/>
        <w:numPr>
          <w:ilvl w:val="0"/>
          <w:numId w:val="19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Lowe R.  The welfare state in Britain since 1945, εκδ Macmil lan, London 1993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Ρουσσώ Ζ.Ζ. , Το κοινωνικό συμβόλαιο , εκδ Πόλις , Αθήνα 2012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Στασινοπούλου, Ο., Κοινωνική Πολιτική βασικές έννοιες, ιστορική εξέλιξη, φορείς και πρ</w:t>
      </w:r>
      <w:r>
        <w:rPr>
          <w:rStyle w:val="Character29"/>
          <w:color w:val="44546A"/>
          <w:sz w:val="24"/>
          <w:szCs w:val="24"/>
        </w:rPr>
        <w:t xml:space="preserve">ότυπα, Κοινωνική Πολιτική  2006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Μαρξ, Κ Το κεφάλαιο , εκδ. ΚΨΜ ,Αθήνα 2011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Λούξεμποργκ Ρ. ,Μεταρρύθμιση ή επανάσταση ,εκδ Κοροντζή , Αθήνα 1980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Hayek, the road to serfdom , εκδ. Routledge and Keegan ,London 1976 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Buchannan J., The limits of liberty:between anarchy and leviathan, εκδ University of Chicago </w:t>
      </w:r>
      <w:r>
        <w:rPr>
          <w:rStyle w:val="Character29"/>
          <w:color w:val="44546A"/>
          <w:sz w:val="24"/>
          <w:szCs w:val="24"/>
        </w:rPr>
        <w:t xml:space="preserve">Press ,  1976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Langendonck J.V. ,The social protection of the unemployed, εκδ. International Social </w:t>
      </w:r>
      <w:r>
        <w:rPr>
          <w:rStyle w:val="Character29"/>
          <w:color w:val="44546A"/>
          <w:sz w:val="24"/>
          <w:szCs w:val="24"/>
        </w:rPr>
        <w:t xml:space="preserve">Security Review Octomber 1997 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 Baldwin P. , Class interests and the post-war welfare state in Europe: A historical perspective </w:t>
      </w:r>
      <w:r>
        <w:rPr>
          <w:rStyle w:val="Character29"/>
          <w:color w:val="44546A"/>
          <w:sz w:val="24"/>
          <w:szCs w:val="24"/>
        </w:rPr>
        <w:t xml:space="preserve">,International Social Security Review 1990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Schulin Β.  Solidaritat und Subsidiaritat,  von Magdell B. - Kannengiesser W 1988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Μπαλιμπάρ Ε. , Ο φόβος των Μαζών ,εκδ. Πλέθρον , Αθήνα 2010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Αλτουσέρ Λ , Θέσεις ,Εκδ. Θεμέλιο ,Αθήνα 1999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Πουλαντζάς Ν , Το κράτος, η εξουσία, ο Σοσιαλισμός, εκδ. Θεμέλιο , Αθήνα 2008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Rimlinger G.  Welfare Policy and Industrialisation in Europe, North America and Russia, εκδ </w:t>
      </w:r>
      <w:r>
        <w:rPr>
          <w:rStyle w:val="Character29"/>
          <w:color w:val="44546A"/>
          <w:sz w:val="24"/>
          <w:szCs w:val="24"/>
        </w:rPr>
        <w:t xml:space="preserve">: Wiley , New York 1971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Σακελλαρόπουλος Θ , η μεταρρύθμιση του κοινωνικού κράτους ,εκδ Κριτική , Αθήνα </w:t>
      </w:r>
      <w:r>
        <w:rPr>
          <w:rStyle w:val="Character29"/>
          <w:color w:val="44546A"/>
          <w:sz w:val="24"/>
          <w:szCs w:val="24"/>
        </w:rPr>
        <w:t>1999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Friedman M. , Free to choose , εκδ. MacMillan ,London 1988.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Λάσκος Χ, Τσακαλώτος Ε. , Χωρίς επιστροφή εκδ. ΚΨΜ,Αθήνα 2011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Hobsbawm E.J. , Η εποχή των επαναστάσεων ,εκδ ΜΙΕΤ ,Αθήνα 2008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Μαρξ Κ. ,Η αυταπάτη της εθνικής οικονομίας , εκδ Κοροντζή ,Αθήνα 1998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ESSPROS MANUAL – TABLES AND GRAPHS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Titmuss R. , Social Policy, εκδ. Allen and Unwin , London 1974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Giddens R. , ο Τρίτος δρόμος ,εκδ. Πόλις, Αθήνα 1998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Espring-Andersen C., The three worlds of welfare capitalism, εκδ  Polity,Cambridge 1991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Υφαντόπουλος Γ., Μπαλούρδος Δ.,  Νικολόπουλος Κ. ,Το Ευρωπαϊκό Κοινωνικό Μοντέλο, </w:t>
      </w:r>
      <w:r>
        <w:rPr>
          <w:rStyle w:val="Character29"/>
          <w:color w:val="44546A"/>
          <w:sz w:val="24"/>
          <w:szCs w:val="24"/>
        </w:rPr>
        <w:t xml:space="preserve">στο Οικονομικές και Κοινωνικές Διαστάσεις του κράτους πρόνοιας, Εκδ. Βιβλιοπωλείο </w:t>
      </w:r>
      <w:r>
        <w:rPr>
          <w:rStyle w:val="Character29"/>
          <w:color w:val="44546A"/>
          <w:sz w:val="24"/>
          <w:szCs w:val="24"/>
        </w:rPr>
        <w:t>2009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Δίκαιος Κ. , Χλέτσος Μ. , Πολιτική Υγείας/κοινωνική πολιτική, εκδ ΕΑΠ , Πάτρα 1999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Ferrera M , the southern model of welfare in social Europe, journal of european sciences, </w:t>
      </w:r>
      <w:r>
        <w:rPr>
          <w:rStyle w:val="Character29"/>
          <w:color w:val="44546A"/>
          <w:sz w:val="24"/>
          <w:szCs w:val="24"/>
        </w:rPr>
        <w:t xml:space="preserve">1996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Maslow A.H. Motivation and personality, εκδ Harper , New York 1954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 OECD, Health at a glance: Europe, 2014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A. Reeves, M. McKee, Da. Stuckler. The attack on universal health coverage in Europe: </w:t>
      </w:r>
      <w:r>
        <w:rPr>
          <w:rStyle w:val="Character29"/>
          <w:color w:val="44546A"/>
          <w:sz w:val="24"/>
          <w:szCs w:val="24"/>
        </w:rPr>
        <w:t xml:space="preserve">recession, austerity and unmet needs European Journal of Public Health, Vol. 25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Koolman X. Unmet need for health care in Europe, in Comparative EU statistics on income </w:t>
      </w:r>
      <w:r>
        <w:rPr>
          <w:rStyle w:val="Character29"/>
          <w:color w:val="44546A"/>
          <w:sz w:val="24"/>
          <w:szCs w:val="24"/>
        </w:rPr>
        <w:t xml:space="preserve">and living conditions: issues and challenges. Proceedings of the EU-SILC conference. </w:t>
      </w:r>
      <w:r>
        <w:rPr>
          <w:rStyle w:val="Character29"/>
          <w:color w:val="44546A"/>
          <w:sz w:val="24"/>
          <w:szCs w:val="24"/>
        </w:rPr>
        <w:t xml:space="preserve">Helsinki: Eurostat, 2007 .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Espring-Andersen C., Γιατί χρειαζόμαστε ένα νέο κοινωνικό κράτος πρόνοιας, Εκδ. Διόνικ</w:t>
      </w:r>
      <w:r>
        <w:rPr>
          <w:rStyle w:val="Character29"/>
          <w:color w:val="44546A"/>
          <w:sz w:val="24"/>
          <w:szCs w:val="24"/>
        </w:rPr>
        <w:t xml:space="preserve">ος, 2006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Mills C.W. , The power elite, εκδ Oxford University Press , Oxford 1956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Αγραφιώτης Δ. ,Κουκούμας Ν. , Παπαδουράκης Γ. , Μελέτη πρόβλεψης των τεχνολογικών </w:t>
      </w:r>
      <w:r>
        <w:rPr>
          <w:rStyle w:val="Character29"/>
          <w:color w:val="44546A"/>
          <w:sz w:val="24"/>
          <w:szCs w:val="24"/>
        </w:rPr>
        <w:t xml:space="preserve">επιπτώσεων στον κλάδο της υγείας με ορίζοντα το 2010, ΕΠΕΤ 1994 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OECD, Health at a glance 2015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Allin S. ,  Masseria C. Unmet need as an indicator of health care access. Eurohealth Vol 15 </w:t>
      </w:r>
      <w:r>
        <w:rPr>
          <w:rStyle w:val="Character29"/>
          <w:color w:val="44546A"/>
          <w:sz w:val="24"/>
          <w:szCs w:val="24"/>
        </w:rPr>
        <w:t xml:space="preserve">No 3 , 2014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Bytheway B. , On defining Ageism, εκδ. Sage , London 1990 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Altouser L. ,lire  le capital, εκδ puf, Paris 165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Watson S. ,Foucault and the study of Social policy , εκδ Sage , London 2000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Macherey P. ,  Φουκώ και μαρξ , εκδ. Εκτός Γραμμής , Αθήνα 2013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Μηλιός Γ , THE MAN WHO WOULD BE KING: ΑΣΚΗΣΕΙΣ ΥΦΟΥΣ ΣΤΟ ΑΔΙΕΞΟΔΟ Τ</w:t>
      </w:r>
      <w:r>
        <w:rPr>
          <w:rStyle w:val="Character29"/>
          <w:color w:val="44546A"/>
          <w:sz w:val="24"/>
          <w:szCs w:val="24"/>
        </w:rPr>
        <w:t xml:space="preserve">ΗΣ KΕΝΤΡΟ-ΑΡΙΣΤΕΡΑΣ,  Θέσεις τεύχος 134 ,2015  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Μηλιός Γ. , Η στρατηγική των αναγκών , εκδ. Πεδίο , Αθήνα 2014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Holloway J. , Change the World Without Taking Power, εκδ. Pluto press , USA 2002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Λάσκος Χ ,Εγκώμιο ημερολογίου του ΚΙΑ , rednotebook 2015</w:t>
      </w:r>
    </w:p>
    <w:p>
      <w:pPr>
        <w:pStyle w:val="a3"/>
        <w:numPr>
          <w:ilvl w:val="0"/>
          <w:numId w:val="20"/>
        </w:numPr>
        <w:jc w:val="both"/>
        <w:spacing w:line="312" w:lineRule="auto" w:after="200"/>
        <w:contextualSpacing w:val="1"/>
        <w:ind w:left="720" w:hanging="360"/>
        <w:rPr>
          <w:sz w:val="24"/>
          <w:szCs w:val="24"/>
          <w:color w:val="44546A"/>
          <w:rFonts w:ascii="n" w:eastAsia="n" w:hAnsi="n"/>
          <w:sz w:val="20"/>
          <w:szCs w:val="20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Laclau E. ,Για την επανάσταση της εποχής μας , εκδ Νήσος , Αθήνα 1997</w:t>
      </w:r>
    </w:p>
    <w:p>
      <w:pPr>
        <w:pStyle w:val="Para18"/>
        <w:spacing w:line="312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8"/>
        <w:spacing w:line="312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</w:p>
    <w:p>
      <w:pPr>
        <w:pStyle w:val="Para18"/>
        <w:spacing w:line="312" w:lineRule="auto" w:after="200"/>
        <w:ind w:left="0" w:hanging="0"/>
        <w:rPr>
          <w:sz w:val="24"/>
          <w:szCs w:val="24"/>
          <w:color w:val="44546A"/>
          <w:rFonts w:ascii="n" w:eastAsia="n" w:hAnsi="n"/>
          <w:sz w:val="24"/>
          <w:szCs w:val="24"/>
          <w:rFonts w:ascii="Times New Roman" w:eastAsia="Times New Roman" w:hAnsi="Times New Roman"/>
        </w:rPr>
      </w:pPr>
      <w:r>
        <w:rPr>
          <w:rStyle w:val="Character29"/>
          <w:color w:val="44546A"/>
          <w:sz w:val="24"/>
          <w:szCs w:val="24"/>
        </w:rPr>
        <w:t xml:space="preserve"> Σύνολο λέξεων βασικού κειμένου : 2741</w:t>
      </w:r>
    </w:p>
    <w:sectPr>
      <w:titlePg/>
      <w:headerReference w:type="default" r:id="rId52"/>
      <w:footerReference w:type="even" r:id="rId53"/>
      <w:footerReference w:type="default" r:id="rId54"/>
      <w:footerReference w:type="first" r:id="rId55"/>
      <w:pgSz w:w="11907" w:h="16839"/>
      <w:pgMar w:top="1440" w:right="1080" w:bottom="1440" w:left="1080" w:header="720" w:footer="792" w:gutter="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Symbol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MS Mincho">
    <w:panose1 w:val="020F0502020204030204"/>
    <w:charset w:val="128"/>
    <w:family w:val="mordern"/>
    <w:pitch w:val="variable"/>
    <w:sig w:usb0="A00002EF" w:usb1="4000207B" w:usb2="00000000" w:usb3="00000000" w:csb0="0000009F" w:csb1="00000000"/>
  </w:font>
  <w:font w:name="Calibri Light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p>
    <w:pPr>
      <w:pStyle w:val="Para3"/>
      <w:spacing w:line="240" w:lineRule="auto"/>
      <w:ind w:firstLine="360"/>
      <w:rPr>
        <w:b/>
        <w:sz w:val="46"/>
        <w:szCs w:val="46"/>
        <w:color w:val="44546A"/>
        <w:rFonts w:ascii="n" w:eastAsia="n" w:hAnsi="n"/>
        <w:sz w:val="46"/>
        <w:szCs w:val="46"/>
        <w:rFonts w:ascii="Calibri" w:eastAsia="Calibri" w:hAnsi="Calibri"/>
      </w:rPr>
    </w:pPr>
    <w:r>
      <w:rPr>
        <w:sz w:val="20"/>
      </w:rPr>
      <w:pict>
        <v:shapetype id="_x0000_t202" coordsize="21600,21600" o:spt="202" path="m,l,21600r21600,l21600,xe">
          <v:stroke joinstyle="miter"/>
        </v:shapetype>
        <v:shape id="_x0000_s5" type="#_x0000_t202" style="position:absolute;left:0;width:22pt;height:28pt;z-index:-251624963;mso-position-horizontal-relative:margin;mso-position-vertical-relative:paragraph" stroked="f" filled="f">
          <v:textbox style="mso-fit-shape-to-text:t;v-text-anchor:top">
            <w:txbxContent/>
          </v:textbox>
        </v:shape>
      </w:pict>
    </w:r>
    <w:r>
      <w:rPr>
        <w:rStyle w:val="Character5"/>
        <w:b/>
        <w:color w:val="44546A"/>
        <w:sz w:val="46"/>
        <w:szCs w:val="46"/>
      </w:rPr>
      <w:fldChar w:fldCharType="begin"/>
    </w:r>
    <w:r>
      <w:rPr>
        <w:rStyle w:val="Character5"/>
        <w:b/>
        <w:color w:val="44546A"/>
        <w:sz w:val="46"/>
        <w:szCs w:val="46"/>
      </w:rPr>
      <w:instrText xml:space="preserve">PAGE</w:instrText>
    </w:r>
    <w:r>
      <w:rPr>
        <w:rStyle w:val="Character5"/>
        <w:b/>
        <w:color w:val="44546A"/>
        <w:sz w:val="46"/>
        <w:szCs w:val="46"/>
      </w:rPr>
      <w:fldChar w:fldCharType="separate"/>
    </w:r>
    <w:r>
      <w:rPr>
        <w:rStyle w:val="Character5"/>
        <w:b/>
        <w:color w:val="44546A"/>
        <w:sz w:val="46"/>
        <w:szCs w:val="4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p>
    <w:pPr>
      <w:pStyle w:val="Para5"/>
      <w:spacing w:line="240" w:lineRule="auto"/>
      <w:ind w:firstLine="360"/>
      <w:rPr>
        <w:sz w:val="24"/>
        <w:szCs w:val="24"/>
        <w:color w:val="44546A"/>
        <w:rFonts w:ascii="n" w:eastAsia="n" w:hAnsi="n"/>
        <w:sz w:val="24"/>
        <w:szCs w:val="24"/>
        <w:rFonts w:ascii="Times New Roman" w:eastAsia="Times New Roman" w:hAnsi="Times New Roman"/>
      </w:rPr>
    </w:pPr>
    <w:r>
      <w:rPr>
        <w:sz w:val="20"/>
      </w:rPr>
      <w:pict>
        <v:shapetype id="_x0000_t202" coordsize="21600,21600" o:spt="202" path="m,l,21600r21600,l21600,xe">
          <v:stroke joinstyle="miter"/>
        </v:shapetype>
        <v:shape id="_x0000_s7" type="#_x0000_t202" style="position:absolute;left:0;width:95pt;height:26pt;z-index:-251624962;mso-position-horizontal-relative:margin;mso-position-vertical-relative:paragraph" stroked="f" filled="f">
          <v:textbox style="mso-fit-shape-to-text:t;v-text-anchor:top">
            <w:txbxContent>
              <w:p>
                <w:pPr>
                  <w:pStyle w:val="Para1"/>
                  <w:spacing w:line="240" w:lineRule="auto"/>
                  <w:ind w:left="0" w:hanging="0"/>
                  <w:rPr>
                    <w:b/>
                    <w:sz w:val="46"/>
                    <w:szCs w:val="46"/>
                    <w:color w:val="44546A"/>
                    <w:rFonts w:ascii="n" w:eastAsia="n" w:hAnsi="n"/>
                    <w:sz w:val="46"/>
                    <w:szCs w:val="46"/>
                    <w:rFonts w:ascii="Calibri" w:eastAsia="Calibri" w:hAnsi="Calibri"/>
                  </w:rPr>
                </w:pPr>
                <w:r>
                  <w:rPr>
                    <w:rStyle w:val="Character6"/>
                    <w:color w:val="44546A"/>
                    <w:sz w:val="24"/>
                    <w:szCs w:val="24"/>
                  </w:rPr>
                  <w:t xml:space="preserve">Σελίδα </w:t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fldChar w:fldCharType="begin"/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instrText xml:space="preserve">PAGE</w:instrText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fldChar w:fldCharType="separate"/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fldChar w:fldCharType="end"/>
                </w:r>
                <w:r>
                  <w:rPr>
                    <w:rStyle w:val="Character6"/>
                    <w:color w:val="44546A"/>
                    <w:sz w:val="24"/>
                    <w:szCs w:val="24"/>
                  </w:rPr>
                  <w:t xml:space="preserve"> από </w:t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fldChar w:fldCharType="begin"/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instrText xml:space="preserve">NUMPAGES</w:instrText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fldChar w:fldCharType="separate"/>
                </w:r>
                <w:r>
                  <w:rPr>
                    <w:rStyle w:val="Character5"/>
                    <w:b/>
                    <w:color w:val="44546A"/>
                    <w:sz w:val="46"/>
                    <w:szCs w:val="46"/>
                  </w:rPr>
                  <w:fldChar w:fldCharType="end"/>
                </w:r>
              </w:p>
            </w:txbxContent>
          </v:textbox>
        </v:shape>
      </w:pict>
    </w:r>
    <w:r>
      <w:rPr>
        <w:rStyle w:val="Character2"/>
        <w:b/>
        <w:color w:val="44546A"/>
        <w:sz w:val="46"/>
        <w:szCs w:val="46"/>
      </w:rPr>
      <w:t xml:space="preserve">                                                      </w:t>
    </w:r>
    <w:r>
      <w:rPr>
        <w:rStyle w:val="Character6"/>
        <w:color w:val="44546A"/>
        <w:sz w:val="24"/>
        <w:szCs w:val="24"/>
      </w:rPr>
      <w:t xml:space="preserve">Χριστοδούλου </w:t>
    </w:r>
    <w:r>
      <w:rPr>
        <w:rStyle w:val="Character7"/>
        <w:color w:val="44546A"/>
        <w:sz w:val="46"/>
        <w:szCs w:val="46"/>
      </w:rPr>
      <w:t xml:space="preserve">    </w:t>
    </w:r>
    <w:r>
      <w:rPr>
        <w:rStyle w:val="Character6"/>
        <w:color w:val="44546A"/>
        <w:sz w:val="24"/>
        <w:szCs w:val="24"/>
      </w:rPr>
      <w:t>Παναγιώτης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p>
    <w:pPr>
      <w:pStyle w:val="Para3"/>
      <w:spacing w:line="240" w:lineRule="auto"/>
      <w:ind w:firstLine="360"/>
      <w:rPr>
        <w:b/>
        <w:sz w:val="46"/>
        <w:szCs w:val="46"/>
        <w:color w:val="44546A"/>
        <w:rFonts w:ascii="n" w:eastAsia="n" w:hAnsi="n"/>
        <w:sz w:val="46"/>
        <w:szCs w:val="46"/>
        <w:rFonts w:ascii="Calibri" w:eastAsia="Calibri" w:hAnsi="Calibri"/>
      </w:rPr>
    </w:pPr>
    <w:r>
      <w:rPr>
        <w:sz w:val="20"/>
      </w:rPr>
      <w:pict>
        <v:rect id="_x0000_s9" type="#_x0000_t1" style="position:absolute;left:0;width:10pt;height:28pt;z-index:-251624961;mso-position-horizontal-relative:margin;mso-position-vertical-relative:paragraph" stroked="f" filled="f"/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p>
    <w:pPr>
      <w:pStyle w:val="Para1"/>
      <w:spacing w:line="240" w:lineRule="auto"/>
      <w:ind w:left="0" w:hanging="0"/>
      <w:rPr>
        <w:sz w:val="22"/>
        <w:szCs w:val="22"/>
        <w:color w:val="44546A"/>
        <w:rFonts w:ascii="n" w:eastAsia="n" w:hAnsi="n"/>
        <w:sz w:val="22"/>
        <w:szCs w:val="22"/>
        <w:rFonts w:ascii="Calibri" w:eastAsia="Calibri" w:hAnsi="Calibri"/>
      </w:rPr>
    </w:pPr>
  </w:p>
  <w:p>
    <w:pPr>
      <w:pStyle w:val="Para2"/>
      <w:spacing w:line="240" w:lineRule="auto"/>
      <w:ind w:left="0" w:hanging="0"/>
      <w:rPr>
        <w:sz w:val="22"/>
        <w:szCs w:val="22"/>
        <w:color w:val="44546A"/>
        <w:rFonts w:ascii="n" w:eastAsia="n" w:hAnsi="n"/>
        <w:sz w:val="22"/>
        <w:szCs w:val="22"/>
        <w:rFonts w:ascii="Calibri" w:eastAsia="Calibri" w:hAnsi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nsid w:val="0"/>
    <w:multiLevelType w:val="hybridMultilevel"/>
    <w:tmpl w:val="651218787"/>
    <w:lvl w:ilvl="0">
      <w:start w:val="1"/>
      <w:numFmt w:val="decimal"/>
      <w:lvlText w:val="%1."/>
      <w:pPr>
        <w:ind w:left="720" w:hanging="360"/>
      </w:pPr>
      <w:rPr>
        <w:rFonts w:ascii="Times New Roman" w:eastAsia="Times New Roman" w:hAnsi="Times New Roman" w:hint="default"/>
      </w:rPr>
      <w:rPr>
        <w:b w:val="false"/>
        <w:sz w:val="24"/>
        <w:szCs w:val="24"/>
        <w:color w:val="44546A"/>
      </w:rPr>
    </w:lvl>
    <w:lvl w:ilvl="1">
      <w:start w:val="1"/>
      <w:numFmt w:val="decimal"/>
      <w:lvlText w:val="%2.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decimal"/>
      <w:lvlText w:val="%3"/>
      <w:pPr>
        <w:ind w:left="23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decimal"/>
      <w:lvlText w:val="%4.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lowerLetter"/>
      <w:lvlText w:val="%5.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lowerRoman"/>
      <w:lvlText w:val="%6."/>
      <w:pPr>
        <w:ind w:left="432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decimal"/>
      <w:lvlText w:val="%7.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lowerLetter"/>
      <w:lvlText w:val="%8.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lowerRoman"/>
      <w:lvlText w:val="%9."/>
      <w:pPr>
        <w:ind w:left="648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">
    <w:nsid w:val="1"/>
    <w:multiLevelType w:val="hybridMultilevel"/>
    <w:tmpl w:val="423051028"/>
    <w:lvl w:ilvl="0">
      <w:start w:val="2"/>
      <w:numFmt w:val="decimal"/>
      <w:lvlText w:val="%1."/>
      <w:pPr>
        <w:ind w:left="720" w:hanging="360"/>
      </w:pPr>
      <w:rPr>
        <w:rFonts w:ascii="Times New Roman" w:eastAsia="Times New Roman" w:hAnsi="Times New Roman" w:hint="default"/>
      </w:rPr>
      <w:rPr>
        <w:b w:val="false"/>
        <w:sz w:val="24"/>
        <w:szCs w:val="24"/>
        <w:color w:val="44546A"/>
      </w:rPr>
    </w:lvl>
    <w:lvl w:ilvl="1">
      <w:start w:val="1"/>
      <w:numFmt w:val="decimal"/>
      <w:lvlText w:val="%2."/>
      <w:pPr>
        <w:ind w:left="1440" w:hanging="360"/>
      </w:pPr>
      <w:rPr>
        <w:rFonts w:ascii="Times New Roman" w:eastAsia="Times New Roman" w:hAnsi="Times New Roman" w:hint="default"/>
      </w:rPr>
      <w:rPr>
        <w:b w:val="false"/>
        <w:sz w:val="24"/>
        <w:szCs w:val="24"/>
        <w:color w:val="44546A"/>
      </w:rPr>
    </w:lvl>
    <w:lvl w:ilvl="2">
      <w:start w:val="1"/>
      <w:numFmt w:val="decimal"/>
      <w:lvlText w:val="%3"/>
      <w:pPr>
        <w:ind w:left="23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decimal"/>
      <w:lvlText w:val="%4.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lowerLetter"/>
      <w:lvlText w:val="%5.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lowerRoman"/>
      <w:lvlText w:val="%6."/>
      <w:pPr>
        <w:ind w:left="432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decimal"/>
      <w:lvlText w:val="%7.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lowerLetter"/>
      <w:lvlText w:val="%8.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lowerRoman"/>
      <w:lvlText w:val="%9."/>
      <w:pPr>
        <w:ind w:left="648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2">
    <w:nsid w:val="2"/>
    <w:multiLevelType w:val="hybridMultilevel"/>
    <w:tmpl w:val="1558336220"/>
    <w:lvl w:ilvl="0">
      <w:start w:val="1"/>
      <w:numFmt w:val="decimal"/>
      <w:lvlText w:val="%1."/>
      <w:pPr>
        <w:ind w:left="7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1">
      <w:start w:val="1"/>
      <w:numFmt w:val="decimal"/>
      <w:lvlText w:val="%2.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decimal"/>
      <w:lvlText w:val="%3"/>
      <w:pPr>
        <w:ind w:left="23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decimal"/>
      <w:lvlText w:val="%4.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lowerLetter"/>
      <w:lvlText w:val="%5.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lowerRoman"/>
      <w:lvlText w:val="%6."/>
      <w:pPr>
        <w:ind w:left="432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decimal"/>
      <w:lvlText w:val="%7.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lowerLetter"/>
      <w:lvlText w:val="%8.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lowerRoman"/>
      <w:lvlText w:val="%9."/>
      <w:pPr>
        <w:ind w:left="648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3">
    <w:nsid w:val="3"/>
    <w:multiLevelType w:val="hybridMultilevel"/>
    <w:tmpl w:val="1466241739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4">
    <w:nsid w:val="4"/>
    <w:multiLevelType w:val="hybridMultilevel"/>
    <w:tmpl w:val="63234331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5">
    <w:nsid w:val="5"/>
    <w:multiLevelType w:val="hybridMultilevel"/>
    <w:tmpl w:val="352061588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6">
    <w:nsid w:val="6"/>
    <w:multiLevelType w:val="hybridMultilevel"/>
    <w:tmpl w:val="45977322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7">
    <w:nsid w:val="7"/>
    <w:multiLevelType w:val="hybridMultilevel"/>
    <w:tmpl w:val="1446782140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8">
    <w:nsid w:val="8"/>
    <w:multiLevelType w:val="hybridMultilevel"/>
    <w:tmpl w:val="28471831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9">
    <w:nsid w:val="9"/>
    <w:multiLevelType w:val="hybridMultilevel"/>
    <w:tmpl w:val="368084000"/>
    <w:lvl w:ilvl="0">
      <w:start w:val="1"/>
      <w:numFmt w:val="decimal"/>
      <w:lvlText w:val="%1."/>
      <w:pPr>
        <w:ind w:left="720" w:hanging="360"/>
      </w:pPr>
      <w:rPr>
        <w:rFonts w:ascii="Times New Roman" w:eastAsia="Times New Roman" w:hAnsi="Times New Roman" w:hint="default"/>
      </w:rPr>
      <w:rPr>
        <w:b w:val="false"/>
        <w:sz w:val="24"/>
        <w:szCs w:val="24"/>
        <w:color w:val="44546A"/>
      </w:rPr>
    </w:lvl>
    <w:lvl w:ilvl="1">
      <w:start w:val="3"/>
      <w:numFmt w:val="decimal"/>
      <w:lvlText w:val="%2."/>
      <w:pPr>
        <w:ind w:left="1440" w:hanging="360"/>
      </w:pPr>
      <w:rPr>
        <w:rFonts w:ascii="Times New Roman" w:eastAsia="Times New Roman" w:hAnsi="Times New Roman" w:hint="default"/>
      </w:rPr>
      <w:rPr>
        <w:b w:val="false"/>
        <w:sz w:val="24"/>
        <w:szCs w:val="24"/>
        <w:color w:val="44546A"/>
      </w:rPr>
    </w:lvl>
    <w:lvl w:ilvl="2">
      <w:start w:val="1"/>
      <w:numFmt w:val="decimal"/>
      <w:lvlText w:val="%3"/>
      <w:pPr>
        <w:ind w:left="23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decimal"/>
      <w:lvlText w:val="%4.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lowerLetter"/>
      <w:lvlText w:val="%5.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lowerRoman"/>
      <w:lvlText w:val="%6."/>
      <w:pPr>
        <w:ind w:left="432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decimal"/>
      <w:lvlText w:val="%7.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lowerLetter"/>
      <w:lvlText w:val="%8.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lowerRoman"/>
      <w:lvlText w:val="%9."/>
      <w:pPr>
        <w:ind w:left="648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0">
    <w:nsid w:val="10"/>
    <w:multiLevelType w:val="hybridMultilevel"/>
    <w:tmpl w:val="1914178032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1">
    <w:nsid w:val="11"/>
    <w:multiLevelType w:val="hybridMultilevel"/>
    <w:tmpl w:val="313175876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2">
    <w:nsid w:val="12"/>
    <w:multiLevelType w:val="hybridMultilevel"/>
    <w:tmpl w:val="1136905145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3">
    <w:nsid w:val="13"/>
    <w:multiLevelType w:val="hybridMultilevel"/>
    <w:tmpl w:val="1247589545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4">
    <w:nsid w:val="14"/>
    <w:multiLevelType w:val="hybridMultilevel"/>
    <w:tmpl w:val="1750235227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5">
    <w:nsid w:val="15"/>
    <w:multiLevelType w:val="hybridMultilevel"/>
    <w:tmpl w:val="889919859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6">
    <w:nsid w:val="16"/>
    <w:multiLevelType w:val="hybridMultilevel"/>
    <w:tmpl w:val="884475292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7">
    <w:nsid w:val="17"/>
    <w:multiLevelType w:val="hybridMultilevel"/>
    <w:tmpl w:val="1385512501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sz w:val="24"/>
        <w:szCs w:val="24"/>
        <w:color w:val="44546A"/>
      </w:rPr>
    </w:lvl>
    <w:lvl w:ilvl="1">
      <w:start w:val="1"/>
      <w:numFmt w:val="bullet"/>
      <w:lvlText w:val="o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bullet"/>
      <w:lvlText w:val="§"/>
      <w:pPr>
        <w:ind w:left="21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bullet"/>
      <w:lvlText w:val="·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bullet"/>
      <w:lvlText w:val="o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bullet"/>
      <w:lvlText w:val="§"/>
      <w:pPr>
        <w:ind w:left="432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bullet"/>
      <w:lvlText w:val="·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bullet"/>
      <w:lvlText w:val="o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bullet"/>
      <w:lvlText w:val="§"/>
      <w:pPr>
        <w:ind w:left="64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8">
    <w:nsid w:val="18"/>
    <w:multiLevelType w:val="hybridMultilevel"/>
    <w:tmpl w:val="1322278731"/>
    <w:lvl w:ilvl="0">
      <w:start w:val="1"/>
      <w:numFmt w:val="decimal"/>
      <w:lvlText w:val="%1."/>
      <w:pPr>
        <w:ind w:left="720" w:hanging="360"/>
      </w:pPr>
      <w:rPr>
        <w:rFonts w:ascii="Times New Roman" w:eastAsia="Times New Roman" w:hAnsi="Times New Roman" w:hint="default"/>
      </w:rPr>
      <w:rPr>
        <w:b w:val="false"/>
        <w:sz w:val="24"/>
        <w:szCs w:val="24"/>
        <w:color w:val="44546A"/>
      </w:rPr>
    </w:lvl>
    <w:lvl w:ilvl="1">
      <w:start w:val="1"/>
      <w:numFmt w:val="lowerLetter"/>
      <w:lvlText w:val="%2.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lowerRoman"/>
      <w:lvlText w:val="%3."/>
      <w:pPr>
        <w:ind w:left="216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decimal"/>
      <w:lvlText w:val="%4.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lowerLetter"/>
      <w:lvlText w:val="%5.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lowerRoman"/>
      <w:lvlText w:val="%6."/>
      <w:pPr>
        <w:ind w:left="432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decimal"/>
      <w:lvlText w:val="%7.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lowerLetter"/>
      <w:lvlText w:val="%8.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lowerRoman"/>
      <w:lvlText w:val="%9."/>
      <w:pPr>
        <w:ind w:left="648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abstractNum w:abstractNumId="19">
    <w:nsid w:val="19"/>
    <w:multiLevelType w:val="hybridMultilevel"/>
    <w:tmpl w:val="715953468"/>
    <w:lvl w:ilvl="0">
      <w:start w:val="2"/>
      <w:numFmt w:val="decimal"/>
      <w:lvlText w:val="%1."/>
      <w:pPr>
        <w:ind w:left="720" w:hanging="360"/>
      </w:pPr>
      <w:rPr>
        <w:rFonts w:ascii="Times New Roman" w:eastAsia="Times New Roman" w:hAnsi="Times New Roman" w:hint="default"/>
      </w:rPr>
      <w:rPr>
        <w:b w:val="false"/>
        <w:sz w:val="24"/>
        <w:szCs w:val="24"/>
        <w:color w:val="44546A"/>
      </w:rPr>
    </w:lvl>
    <w:lvl w:ilvl="1">
      <w:start w:val="1"/>
      <w:numFmt w:val="lowerLetter"/>
      <w:lvlText w:val="%2."/>
      <w:pPr>
        <w:ind w:left="14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2">
      <w:start w:val="1"/>
      <w:numFmt w:val="lowerRoman"/>
      <w:lvlText w:val="%3."/>
      <w:pPr>
        <w:ind w:left="216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3">
      <w:start w:val="1"/>
      <w:numFmt w:val="decimal"/>
      <w:lvlText w:val="%4."/>
      <w:pPr>
        <w:ind w:left="288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4">
      <w:start w:val="1"/>
      <w:numFmt w:val="lowerLetter"/>
      <w:lvlText w:val="%5."/>
      <w:pPr>
        <w:ind w:left="360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5">
      <w:start w:val="1"/>
      <w:numFmt w:val="lowerRoman"/>
      <w:lvlText w:val="%6."/>
      <w:pPr>
        <w:ind w:left="432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6">
      <w:start w:val="1"/>
      <w:numFmt w:val="decimal"/>
      <w:lvlText w:val="%7."/>
      <w:pPr>
        <w:ind w:left="504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7">
      <w:start w:val="1"/>
      <w:numFmt w:val="lowerLetter"/>
      <w:lvlText w:val="%8."/>
      <w:pPr>
        <w:ind w:left="5760" w:hanging="36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  <w:lvl w:ilvl="8">
      <w:start w:val="1"/>
      <w:numFmt w:val="lowerRoman"/>
      <w:lvlText w:val="%9."/>
      <w:pPr>
        <w:ind w:left="6480" w:hanging="180"/>
      </w:pPr>
      <w:rPr>
        <w:rFonts w:ascii="Times New Roman" w:eastAsia="Times New Roman" w:hAnsi="Times New Roman" w:hint="default"/>
      </w:rPr>
      <w:rPr>
        <w:b/>
        <w:sz w:val="24"/>
        <w:szCs w:val="24"/>
        <w:color w:val="44546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>
    <w:useFELayout/>
    <w:compatSetting w:name="compatibilityMode" w:uri="http://schemas.microsoft.com/office/word" w:val="12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0">
    <w:name w:val="ParaAttribute0"/>
    <w:pPr>
      <w:spacing w:after="3600"/>
      <w:jc w:val="both"/>
      <w:wordWrap w:val="false"/>
      <w:ind w:left="0" w:hanging="0"/>
      <w:rPr/>
    </w:pPr>
  </w:style>
  <w:style w:type="paragraph" w:customStyle="1" w:styleId="Para1">
    <w:name w:val="ParaAttribute1"/>
    <w:pPr>
      <w:jc w:val="left"/>
      <w:wordWrap w:val="false"/>
      <w:ind w:left="0" w:hanging="0"/>
      <w:rPr/>
    </w:pPr>
  </w:style>
  <w:style w:type="paragraph" w:customStyle="1" w:styleId="Para2">
    <w:name w:val="ParaAttribute2"/>
    <w:pPr>
      <w:jc w:val="left"/>
      <w:wordWrap w:val="false"/>
      <w:ind w:left="0" w:hanging="0"/>
      <w:rPr/>
    </w:pPr>
  </w:style>
  <w:style w:type="paragraph" w:customStyle="1" w:styleId="Para3">
    <w:name w:val="ParaAttribute3"/>
    <w:pPr>
      <w:jc w:val="left"/>
      <w:wordWrap w:val="false"/>
      <w:ind w:firstLine="360"/>
      <w:rPr/>
    </w:pPr>
  </w:style>
  <w:style w:type="paragraph" w:customStyle="1" w:styleId="Para4">
    <w:name w:val="ParaAttribute4"/>
    <w:pPr>
      <w:jc w:val="left"/>
      <w:wordWrap w:val="false"/>
      <w:ind w:left="0" w:hanging="0"/>
      <w:widowControl w:val="false"/>
      <w:rPr/>
    </w:pPr>
  </w:style>
  <w:style w:type="paragraph" w:customStyle="1" w:styleId="Para5">
    <w:name w:val="ParaAttribute5"/>
    <w:pPr>
      <w:jc w:val="left"/>
      <w:wordWrap w:val="false"/>
      <w:ind w:firstLine="360"/>
      <w:rPr/>
    </w:pPr>
  </w:style>
  <w:style w:type="paragraph" w:customStyle="1" w:styleId="Para6">
    <w:name w:val="ParaAttribute6"/>
    <w:pPr>
      <w:spacing w:after="3600"/>
      <w:jc w:val="both"/>
      <w:wordWrap w:val="false"/>
      <w:ind w:left="0" w:hanging="0"/>
      <w:rPr/>
    </w:pPr>
  </w:style>
  <w:style w:type="paragraph" w:customStyle="1" w:styleId="Para7">
    <w:name w:val="ParaAttribute7"/>
    <w:pPr>
      <w:spacing w:after="320"/>
      <w:jc w:val="both"/>
      <w:wordWrap w:val="false"/>
      <w:ind w:left="0" w:hanging="0"/>
      <w:keepNext/>
      <w:keepLines/>
      <w:pBdr>
        <w:top w:val="single" w:sz="24" w:space="0" w:color="44546A"/>
      </w:pBdr>
      <w:rPr/>
    </w:pPr>
  </w:style>
  <w:style w:type="paragraph" w:customStyle="1" w:styleId="Para8">
    <w:name w:val="ParaAttribute8"/>
    <w:pPr>
      <w:spacing w:before="360" w:after="360"/>
      <w:jc w:val="both"/>
      <w:wordWrap w:val="false"/>
      <w:ind w:left="0" w:hanging="0"/>
      <w:rPr/>
    </w:pPr>
  </w:style>
  <w:style w:type="paragraph" w:customStyle="1" w:styleId="Para9">
    <w:name w:val="ParaAttribute9"/>
    <w:pPr>
      <w:spacing w:before="360" w:after="360"/>
      <w:jc w:val="both"/>
      <w:wordWrap w:val="false"/>
      <w:ind w:left="0" w:hanging="0"/>
      <w:rPr/>
    </w:pPr>
  </w:style>
  <w:style w:type="paragraph" w:customStyle="1" w:styleId="Para10">
    <w:name w:val="ParaAttribute10"/>
    <w:pPr>
      <w:spacing w:after="200"/>
      <w:jc w:val="both"/>
      <w:wordWrap w:val="false"/>
      <w:ind w:left="0" w:hanging="0"/>
      <w:rPr/>
    </w:pPr>
  </w:style>
  <w:style w:type="paragraph" w:customStyle="1" w:styleId="Para11">
    <w:name w:val="ParaAttribute11"/>
    <w:pPr>
      <w:spacing w:after="200"/>
      <w:jc w:val="both"/>
      <w:wordWrap w:val="false"/>
      <w:ind w:left="0" w:hanging="0"/>
      <w:rPr/>
    </w:pPr>
  </w:style>
  <w:style w:type="paragraph" w:customStyle="1" w:styleId="Para12">
    <w:name w:val="ParaAttribute12"/>
    <w:pPr>
      <w:spacing w:after="200"/>
      <w:jc w:val="both"/>
      <w:wordWrap w:val="false"/>
      <w:ind w:left="720" w:hanging="360"/>
      <w:rPr/>
    </w:pPr>
  </w:style>
  <w:style w:type="paragraph" w:customStyle="1" w:styleId="Para13">
    <w:name w:val="ParaAttribute13"/>
    <w:pPr>
      <w:spacing w:after="200"/>
      <w:jc w:val="both"/>
      <w:wordWrap w:val="false"/>
      <w:ind w:left="1440" w:hanging="360"/>
      <w:rPr/>
    </w:pPr>
  </w:style>
  <w:style w:type="paragraph" w:customStyle="1" w:styleId="Para14">
    <w:name w:val="ParaAttribute14"/>
    <w:pPr>
      <w:spacing w:after="200"/>
      <w:jc w:val="both"/>
      <w:wordWrap w:val="false"/>
      <w:ind w:left="720" w:firstLine="0"/>
      <w:rPr/>
    </w:pPr>
  </w:style>
  <w:style w:type="paragraph" w:customStyle="1" w:styleId="Para15">
    <w:name w:val="ParaAttribute15"/>
    <w:pPr>
      <w:spacing w:after="200"/>
      <w:jc w:val="both"/>
      <w:wordWrap w:val="false"/>
      <w:ind w:left="360" w:firstLine="0"/>
      <w:rPr/>
    </w:pPr>
  </w:style>
  <w:style w:type="paragraph" w:customStyle="1" w:styleId="Para16">
    <w:name w:val="ParaAttribute16"/>
    <w:pPr>
      <w:jc w:val="left"/>
      <w:wordWrap w:val="false"/>
      <w:ind w:left="0" w:hanging="0"/>
      <w:widowControl w:val="false"/>
      <w:rPr/>
    </w:pPr>
  </w:style>
  <w:style w:type="paragraph" w:customStyle="1" w:styleId="Para17">
    <w:name w:val="ParaAttribute17"/>
    <w:pPr>
      <w:jc w:val="left"/>
      <w:wordWrap w:val="false"/>
      <w:ind w:left="0" w:hanging="0"/>
      <w:widowControl w:val="false"/>
      <w:rPr/>
    </w:pPr>
  </w:style>
  <w:style w:type="paragraph" w:customStyle="1" w:styleId="Para18">
    <w:name w:val="ParaAttribute18"/>
    <w:pPr>
      <w:spacing w:after="200"/>
      <w:jc w:val="both"/>
      <w:wordWrap w:val="false"/>
      <w:ind w:left="0" w:hanging="0"/>
      <w:rPr/>
    </w:pPr>
  </w:style>
  <w:style w:type="paragraph" w:customStyle="1" w:styleId="Para19">
    <w:name w:val="ParaAttribute19"/>
    <w:pPr>
      <w:spacing w:after="200"/>
      <w:jc w:val="both"/>
      <w:wordWrap w:val="false"/>
      <w:ind w:left="720" w:hanging="360"/>
      <w:rPr/>
    </w:pPr>
  </w:style>
  <w:style w:type="paragraph" w:customStyle="1" w:styleId="Para20">
    <w:name w:val="ParaAttribute20"/>
    <w:pPr>
      <w:spacing w:after="3600"/>
      <w:jc w:val="both"/>
      <w:wordWrap w:val="false"/>
      <w:ind w:left="0" w:hanging="0"/>
      <w:rPr/>
    </w:pPr>
  </w:style>
  <w:style w:type="paragraph" w:customStyle="1" w:styleId="Para21">
    <w:name w:val="ParaAttribute21"/>
    <w:pPr>
      <w:spacing w:after="3600"/>
      <w:jc w:val="both"/>
      <w:wordWrap w:val="false"/>
      <w:ind w:left="0" w:hanging="0"/>
      <w:rPr/>
    </w:pPr>
  </w:style>
  <w:style w:type="paragraph" w:customStyle="1" w:styleId="Para22">
    <w:name w:val="ParaAttribute22"/>
    <w:pPr>
      <w:spacing w:after="3600"/>
      <w:jc w:val="both"/>
      <w:wordWrap w:val="false"/>
      <w:ind w:left="0" w:hanging="0"/>
      <w:rPr/>
    </w:pPr>
  </w:style>
  <w:style w:type="paragraph" w:customStyle="1" w:styleId="Para23">
    <w:name w:val="ParaAttribute23"/>
    <w:pPr>
      <w:spacing w:after="3600"/>
      <w:jc w:val="both"/>
      <w:wordWrap w:val="false"/>
      <w:ind w:left="0" w:hanging="0"/>
      <w:rPr/>
    </w:pPr>
  </w:style>
  <w:style w:type="paragraph" w:customStyle="1" w:styleId="Para24">
    <w:name w:val="ParaAttribute24"/>
    <w:pPr>
      <w:jc w:val="both"/>
      <w:wordWrap w:val="false"/>
      <w:ind w:left="0" w:hanging="0"/>
      <w:rPr/>
    </w:pPr>
  </w:style>
  <w:style w:type="character" w:customStyle="1" w:styleId="Character0">
    <w:name w:val="CharAttribute0"/>
    <w:rPr>
      <w:rFonts w:ascii="Times New Roman" w:eastAsia="Times New Roman"/>
      <w:b/>
      <w:color w:val="44546A"/>
      <w:sz w:val="24"/>
    </w:rPr>
  </w:style>
  <w:style w:type="character" w:customStyle="1" w:styleId="Character1">
    <w:name w:val="CharAttribute1"/>
    <w:rPr>
      <w:rFonts w:ascii="Calibri" w:eastAsia="Calibri"/>
      <w:color w:val="44546A"/>
      <w:sz w:val="22"/>
    </w:rPr>
  </w:style>
  <w:style w:type="character" w:customStyle="1" w:styleId="Character2">
    <w:name w:val="CharAttribute2"/>
    <w:rPr>
      <w:rFonts w:ascii="Calibri" w:eastAsia="Calibri"/>
      <w:b/>
      <w:color w:val="44546A"/>
      <w:sz w:val="46"/>
    </w:rPr>
  </w:style>
  <w:style w:type="character" w:customStyle="1" w:styleId="Character3">
    <w:name w:val="CharAttribute3"/>
    <w:rPr>
      <w:rFonts w:ascii="Calibri" w:eastAsia="Calibri"/>
      <w:b/>
      <w:color w:val="44546A"/>
      <w:sz w:val="46"/>
    </w:rPr>
  </w:style>
  <w:style w:type="character" w:customStyle="1" w:styleId="Character4">
    <w:name w:val="CharAttribute4"/>
    <w:rPr>
      <w:rFonts w:ascii="Times New Roman" w:eastAsia="Times New Roman"/>
    </w:rPr>
  </w:style>
  <w:style w:type="character" w:customStyle="1" w:styleId="Character5">
    <w:name w:val="CharAttribute5"/>
    <w:rPr>
      <w:rFonts w:ascii="Calibri" w:eastAsia="Calibri"/>
      <w:b/>
      <w:color w:val="44546A"/>
      <w:sz w:val="46"/>
    </w:rPr>
  </w:style>
  <w:style w:type="character" w:customStyle="1" w:styleId="Character6">
    <w:name w:val="CharAttribute6"/>
    <w:rPr>
      <w:rFonts w:ascii="Times New Roman" w:eastAsia="Times New Roman"/>
      <w:color w:val="44546A"/>
      <w:sz w:val="24"/>
    </w:rPr>
  </w:style>
  <w:style w:type="character" w:customStyle="1" w:styleId="Character7">
    <w:name w:val="CharAttribute7"/>
    <w:rPr>
      <w:rFonts w:ascii="Calibri" w:eastAsia="Calibri"/>
      <w:color w:val="44546A"/>
      <w:sz w:val="46"/>
    </w:rPr>
  </w:style>
  <w:style w:type="character" w:customStyle="1" w:styleId="Character8">
    <w:name w:val="CharAttribute8"/>
    <w:rPr>
      <w:rFonts w:ascii="Times New Roman" w:eastAsia="Times New Roman"/>
      <w:i/>
      <w:color w:val="5B9BD5"/>
      <w:sz w:val="24"/>
    </w:rPr>
  </w:style>
  <w:style w:type="character" w:customStyle="1" w:styleId="Character9">
    <w:name w:val="CharAttribute9"/>
    <w:rPr>
      <w:rFonts w:ascii="Calibri" w:eastAsia="Calibri Light"/>
      <w:color w:val="50637D"/>
      <w:sz w:val="28"/>
    </w:rPr>
  </w:style>
  <w:style w:type="character" w:customStyle="1" w:styleId="Character10">
    <w:name w:val="CharAttribute10"/>
    <w:rPr>
      <w:rFonts w:ascii="Calibri" w:eastAsia="Calibri"/>
      <w:u w:val="single"/>
      <w:color w:val="0563C1"/>
      <w:sz w:val="22"/>
    </w:rPr>
  </w:style>
  <w:style w:type="character" w:customStyle="1" w:styleId="Character11">
    <w:name w:val="CharAttribute11"/>
    <w:rPr>
      <w:rFonts w:ascii="Calibri" w:eastAsia="Calibri"/>
      <w:u w:val="single"/>
      <w:color w:val="0563C1"/>
      <w:sz w:val="22"/>
    </w:rPr>
  </w:style>
  <w:style w:type="character" w:customStyle="1" w:styleId="Character12">
    <w:name w:val="CharAttribute12"/>
    <w:rPr>
      <w:rFonts w:ascii="Calibri" w:eastAsia="Calibri"/>
      <w:color w:val="44546A"/>
      <w:sz w:val="22"/>
    </w:rPr>
  </w:style>
  <w:style w:type="character" w:customStyle="1" w:styleId="Character13">
    <w:name w:val="CharAttribute13"/>
    <w:rPr>
      <w:rFonts w:ascii="Times New Roman" w:eastAsia="Times New Roman"/>
      <w:vertAlign w:val="superscript"/>
      <w:color w:val="44546A"/>
      <w:sz w:val="24"/>
    </w:rPr>
  </w:style>
  <w:style w:type="character" w:customStyle="1" w:styleId="Character14">
    <w:name w:val="CharAttribute14"/>
    <w:rPr>
      <w:rFonts w:ascii="Times New Roman" w:eastAsia="Times New Roman"/>
      <w:color w:val="44546A"/>
      <w:sz w:val="24"/>
    </w:rPr>
  </w:style>
  <w:style w:type="character" w:customStyle="1" w:styleId="Character15">
    <w:name w:val="CharAttribute15"/>
    <w:rPr>
      <w:rFonts w:ascii="Times New Roman" w:eastAsia="Times New Roman"/>
      <w:color w:val="44546A"/>
      <w:sz w:val="24"/>
    </w:rPr>
  </w:style>
  <w:style w:type="character" w:customStyle="1" w:styleId="Character16">
    <w:name w:val="CharAttribute16"/>
    <w:rPr>
      <w:rFonts w:ascii="Times New Roman" w:eastAsia="Times New Roman"/>
      <w:color w:val="44546A"/>
      <w:sz w:val="24"/>
    </w:rPr>
  </w:style>
  <w:style w:type="character" w:customStyle="1" w:styleId="Character17">
    <w:name w:val="CharAttribute17"/>
    <w:rPr>
      <w:rFonts w:ascii="Times New Roman" w:eastAsia="Times New Roman"/>
      <w:b/>
      <w:color w:val="44546A"/>
      <w:sz w:val="24"/>
    </w:rPr>
  </w:style>
  <w:style w:type="character" w:customStyle="1" w:styleId="Character18">
    <w:name w:val="CharAttribute18"/>
    <w:rPr>
      <w:rFonts w:ascii="Times New Roman" w:eastAsia="Times New Roman"/>
      <w:color w:val="44546A"/>
      <w:sz w:val="24"/>
    </w:rPr>
  </w:style>
  <w:style w:type="character" w:customStyle="1" w:styleId="Character19">
    <w:name w:val="CharAttribute19"/>
    <w:rPr>
      <w:rFonts w:ascii="Symbol" w:eastAsia="Symbol"/>
      <w:color w:val="44546A"/>
      <w:sz w:val="24"/>
    </w:rPr>
  </w:style>
  <w:style w:type="character" w:customStyle="1" w:styleId="Character20">
    <w:name w:val="CharAttribute20"/>
    <w:rPr>
      <w:rFonts w:ascii="Symbol" w:eastAsia="Symbol"/>
      <w:color w:val="44546A"/>
      <w:sz w:val="24"/>
    </w:rPr>
  </w:style>
  <w:style w:type="character" w:customStyle="1" w:styleId="Character21">
    <w:name w:val="CharAttribute21"/>
    <w:rPr>
      <w:rFonts w:ascii="Symbol" w:eastAsia="Symbol"/>
      <w:color w:val="44546A"/>
      <w:sz w:val="24"/>
    </w:rPr>
  </w:style>
  <w:style w:type="character" w:customStyle="1" w:styleId="Character22">
    <w:name w:val="CharAttribute22"/>
    <w:rPr>
      <w:rFonts w:ascii="Symbol" w:eastAsia="Symbol"/>
      <w:color w:val="44546A"/>
      <w:sz w:val="24"/>
    </w:rPr>
  </w:style>
  <w:style w:type="character" w:customStyle="1" w:styleId="Character23">
    <w:name w:val="CharAttribute23"/>
    <w:rPr>
      <w:rFonts w:ascii="Symbol" w:eastAsia="Symbol"/>
      <w:color w:val="44546A"/>
      <w:sz w:val="24"/>
    </w:rPr>
  </w:style>
  <w:style w:type="character" w:customStyle="1" w:styleId="Character24">
    <w:name w:val="CharAttribute24"/>
    <w:rPr>
      <w:rFonts w:ascii="Symbol" w:eastAsia="Symbol"/>
      <w:color w:val="44546A"/>
      <w:sz w:val="24"/>
    </w:rPr>
  </w:style>
  <w:style w:type="character" w:customStyle="1" w:styleId="Character25">
    <w:name w:val="CharAttribute25"/>
    <w:rPr>
      <w:rFonts w:ascii="Symbol" w:eastAsia="Symbol"/>
      <w:color w:val="44546A"/>
      <w:sz w:val="24"/>
    </w:rPr>
  </w:style>
  <w:style w:type="character" w:customStyle="1" w:styleId="Character26">
    <w:name w:val="CharAttribute26"/>
    <w:rPr>
      <w:rFonts w:ascii="Symbol" w:eastAsia="Symbol"/>
      <w:color w:val="44546A"/>
      <w:sz w:val="24"/>
    </w:rPr>
  </w:style>
  <w:style w:type="character" w:customStyle="1" w:styleId="Character27">
    <w:name w:val="CharAttribute27"/>
    <w:rPr>
      <w:rFonts w:ascii="Symbol" w:eastAsia="Symbol"/>
      <w:color w:val="44546A"/>
      <w:sz w:val="24"/>
    </w:rPr>
  </w:style>
  <w:style w:type="character" w:customStyle="1" w:styleId="Character28">
    <w:name w:val="CharAttribute28"/>
    <w:rPr>
      <w:rFonts w:ascii="Symbol" w:eastAsia="Symbol"/>
      <w:color w:val="44546A"/>
      <w:sz w:val="24"/>
    </w:rPr>
  </w:style>
  <w:style w:type="character" w:customStyle="1" w:styleId="Character29">
    <w:name w:val="CharAttribute29"/>
    <w:rPr>
      <w:rFonts w:ascii="Times New Roman" w:eastAsia="Times New Roman"/>
      <w:color w:val="44546A"/>
      <w:sz w:val="24"/>
    </w:rPr>
  </w:style>
  <w:style w:type="character" w:customStyle="1" w:styleId="Character30">
    <w:name w:val="CharAttribute30"/>
    <w:rPr>
      <w:rFonts w:ascii="Times New Roman" w:eastAsia="Times New Roman"/>
      <w:color w:val="44546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hyperlink" Target="mailto:Christodp17@gmail.com" TargetMode="External"></Relationship><Relationship Id="rId6" Type="http://schemas.openxmlformats.org/officeDocument/2006/relationships/numbering" Target="numbering.xml"></Relationship><Relationship Id="rId7" Type="http://schemas.openxmlformats.org/officeDocument/2006/relationships/image" Target="media/image1.png"></Relationship><Relationship Id="rId8" Type="http://schemas.openxmlformats.org/officeDocument/2006/relationships/image" Target="media/image2.png"></Relationship><Relationship Id="rId9" Type="http://schemas.openxmlformats.org/officeDocument/2006/relationships/image" Target="media/image1.png"></Relationship><Relationship Id="rId10" Type="http://schemas.openxmlformats.org/officeDocument/2006/relationships/image" Target="media/image3.png"></Relationship><Relationship Id="rId11" Type="http://schemas.openxmlformats.org/officeDocument/2006/relationships/image" Target="media/image1.png"></Relationship><Relationship Id="rId12" Type="http://schemas.openxmlformats.org/officeDocument/2006/relationships/image" Target="media/image4.png"></Relationship><Relationship Id="rId13" Type="http://schemas.openxmlformats.org/officeDocument/2006/relationships/image" Target="media/image1.png"></Relationship><Relationship Id="rId14" Type="http://schemas.openxmlformats.org/officeDocument/2006/relationships/image" Target="media/image5.png"></Relationship><Relationship Id="rId15" Type="http://schemas.openxmlformats.org/officeDocument/2006/relationships/image" Target="media/image1.png"></Relationship><Relationship Id="rId16" Type="http://schemas.openxmlformats.org/officeDocument/2006/relationships/image" Target="media/image6.png"></Relationship><Relationship Id="rId17" Type="http://schemas.openxmlformats.org/officeDocument/2006/relationships/image" Target="media/image1.png"></Relationship><Relationship Id="rId18" Type="http://schemas.openxmlformats.org/officeDocument/2006/relationships/image" Target="media/image7.png"></Relationship><Relationship Id="rId19" Type="http://schemas.openxmlformats.org/officeDocument/2006/relationships/image" Target="media/image1.png"></Relationship><Relationship Id="rId20" Type="http://schemas.openxmlformats.org/officeDocument/2006/relationships/image" Target="media/image8.png"></Relationship><Relationship Id="rId21" Type="http://schemas.openxmlformats.org/officeDocument/2006/relationships/image" Target="media/image1.png"></Relationship><Relationship Id="rId22" Type="http://schemas.openxmlformats.org/officeDocument/2006/relationships/image" Target="media/image9.png"></Relationship><Relationship Id="rId23" Type="http://schemas.openxmlformats.org/officeDocument/2006/relationships/image" Target="media/image1.png"></Relationship><Relationship Id="rId24" Type="http://schemas.openxmlformats.org/officeDocument/2006/relationships/image" Target="media/image10.png"></Relationship><Relationship Id="rId25" Type="http://schemas.openxmlformats.org/officeDocument/2006/relationships/image" Target="media/image1.png"></Relationship><Relationship Id="rId26" Type="http://schemas.openxmlformats.org/officeDocument/2006/relationships/image" Target="media/image11.png"></Relationship><Relationship Id="rId27" Type="http://schemas.openxmlformats.org/officeDocument/2006/relationships/image" Target="media/image1.png"></Relationship><Relationship Id="rId28" Type="http://schemas.openxmlformats.org/officeDocument/2006/relationships/image" Target="media/image12.png"></Relationship><Relationship Id="rId29" Type="http://schemas.openxmlformats.org/officeDocument/2006/relationships/image" Target="media/image1.png"></Relationship><Relationship Id="rId30" Type="http://schemas.openxmlformats.org/officeDocument/2006/relationships/image" Target="media/image11.png"></Relationship><Relationship Id="rId31" Type="http://schemas.openxmlformats.org/officeDocument/2006/relationships/image" Target="media/image1.png"></Relationship><Relationship Id="rId32" Type="http://schemas.openxmlformats.org/officeDocument/2006/relationships/image" Target="media/image13.png"></Relationship><Relationship Id="rId33" Type="http://schemas.openxmlformats.org/officeDocument/2006/relationships/image" Target="media/image1.png"></Relationship><Relationship Id="rId34" Type="http://schemas.openxmlformats.org/officeDocument/2006/relationships/image" Target="media/image14.png"></Relationship><Relationship Id="rId35" Type="http://schemas.openxmlformats.org/officeDocument/2006/relationships/image" Target="media/image1.png"></Relationship><Relationship Id="rId36" Type="http://schemas.openxmlformats.org/officeDocument/2006/relationships/image" Target="media/image15.png"></Relationship><Relationship Id="rId37" Type="http://schemas.openxmlformats.org/officeDocument/2006/relationships/image" Target="media/image1.png"></Relationship><Relationship Id="rId38" Type="http://schemas.openxmlformats.org/officeDocument/2006/relationships/image" Target="media/image16.png"></Relationship><Relationship Id="rId39" Type="http://schemas.openxmlformats.org/officeDocument/2006/relationships/image" Target="media/image1.png"></Relationship><Relationship Id="rId40" Type="http://schemas.openxmlformats.org/officeDocument/2006/relationships/image" Target="media/image17.png"></Relationship><Relationship Id="rId41" Type="http://schemas.openxmlformats.org/officeDocument/2006/relationships/image" Target="media/image1.png"></Relationship><Relationship Id="rId42" Type="http://schemas.openxmlformats.org/officeDocument/2006/relationships/image" Target="media/image18.png"></Relationship><Relationship Id="rId43" Type="http://schemas.openxmlformats.org/officeDocument/2006/relationships/image" Target="media/image1.png"></Relationship><Relationship Id="rId44" Type="http://schemas.openxmlformats.org/officeDocument/2006/relationships/image" Target="media/image19.png"></Relationship><Relationship Id="rId45" Type="http://schemas.openxmlformats.org/officeDocument/2006/relationships/image" Target="media/image1.png"></Relationship><Relationship Id="rId46" Type="http://schemas.openxmlformats.org/officeDocument/2006/relationships/image" Target="media/image20.png"></Relationship><Relationship Id="rId47" Type="http://schemas.openxmlformats.org/officeDocument/2006/relationships/image" Target="media/image1.png"></Relationship><Relationship Id="rId48" Type="http://schemas.openxmlformats.org/officeDocument/2006/relationships/image" Target="media/image21.png"></Relationship><Relationship Id="rId49" Type="http://schemas.openxmlformats.org/officeDocument/2006/relationships/image" Target="media/image1.png"></Relationship><Relationship Id="rId50" Type="http://schemas.openxmlformats.org/officeDocument/2006/relationships/image" Target="media/image22.png"></Relationship><Relationship Id="rId51" Type="http://schemas.openxmlformats.org/officeDocument/2006/relationships/image" Target="media/image1.png"></Relationship><Relationship Id="rId52" Type="http://schemas.openxmlformats.org/officeDocument/2006/relationships/header" Target="header1.xml"></Relationship><Relationship Id="rId53" Type="http://schemas.openxmlformats.org/officeDocument/2006/relationships/footer" Target="footer1.xml"></Relationship><Relationship Id="rId54" Type="http://schemas.openxmlformats.org/officeDocument/2006/relationships/footer" Target="footer2.xml"></Relationship><Relationship Id="rId55" Type="http://schemas.openxmlformats.org/officeDocument/2006/relationships/footer" Target="footer3.xml"></Relationship><Relationship Id="rId56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29196</Characters>
  <CharactersWithSpaces>0</CharactersWithSpaces>
  <DocSecurity>0</DocSecurity>
  <HyperlinksChanged>false</HyperlinksChanged>
  <Lines>205</Lines>
  <LinksUpToDate>false</LinksUpToDate>
  <Pages>21</Pages>
  <Paragraphs>58</Paragraphs>
  <Words>4570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Panos Christodoulou</dc:creator>
  <cp:lastModifiedBy>Panos Christodoulou</cp:lastModifiedBy>
  <dcterms:modified xsi:type="dcterms:W3CDTF">2016-02-24T19:47:00Z</dcterms:modified>
</cp:coreProperties>
</file>