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uppressAutoHyphens w:val="true"/>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Στην Κλινική α</w:t>
      </w:r>
      <w:r>
        <w:rPr>
          <w:rFonts w:ascii="Times New Roman" w:hAnsi="Times New Roman" w:cs="Times New Roman" w:eastAsia="Times New Roman"/>
          <w:b/>
          <w:color w:val="auto"/>
          <w:spacing w:val="0"/>
          <w:position w:val="0"/>
          <w:sz w:val="24"/>
          <w:shd w:fill="auto" w:val="clear"/>
        </w:rPr>
        <w:t xml:space="preserve">σκηθήκαν συνολικά 73 ειδικευόμενοι</w:t>
      </w:r>
      <w:r>
        <w:rPr>
          <w:rFonts w:ascii="Times New Roman" w:hAnsi="Times New Roman" w:cs="Times New Roman" w:eastAsia="Times New Roman"/>
          <w:color w:val="auto"/>
          <w:spacing w:val="0"/>
          <w:position w:val="0"/>
          <w:sz w:val="24"/>
          <w:shd w:fill="auto" w:val="clear"/>
        </w:rPr>
        <w:t xml:space="preserve"> </w:t>
      </w:r>
    </w:p>
    <w:p>
      <w:pPr>
        <w:widowControl w:val="false"/>
        <w:suppressAutoHyphens w:val="true"/>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37 </w:t>
      </w:r>
      <w:r>
        <w:rPr>
          <w:rFonts w:ascii="Times New Roman" w:hAnsi="Times New Roman" w:cs="Times New Roman" w:eastAsia="Times New Roman"/>
          <w:b/>
          <w:color w:val="auto"/>
          <w:spacing w:val="0"/>
          <w:position w:val="0"/>
          <w:sz w:val="24"/>
          <w:shd w:fill="auto" w:val="clear"/>
        </w:rPr>
        <w:t xml:space="preserve">τελείωσαν την ειδικότητα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Γενική Χειρουργική</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(35 </w:t>
      </w:r>
      <w:r>
        <w:rPr>
          <w:rFonts w:ascii="Times New Roman" w:hAnsi="Times New Roman" w:cs="Times New Roman" w:eastAsia="Times New Roman"/>
          <w:color w:val="auto"/>
          <w:spacing w:val="0"/>
          <w:position w:val="0"/>
          <w:sz w:val="24"/>
          <w:shd w:fill="auto" w:val="clear"/>
        </w:rPr>
        <w:t xml:space="preserve">έλαβαν ειδικότητα από την κλινική, 2 συνέχισαν στο εξωτερικό),  και </w:t>
      </w:r>
      <w:r>
        <w:rPr>
          <w:rFonts w:ascii="Times New Roman" w:hAnsi="Times New Roman" w:cs="Times New Roman" w:eastAsia="Times New Roman"/>
          <w:b/>
          <w:color w:val="auto"/>
          <w:spacing w:val="0"/>
          <w:position w:val="0"/>
          <w:sz w:val="24"/>
          <w:shd w:fill="auto" w:val="clear"/>
        </w:rPr>
        <w:t xml:space="preserve">36 συνέχισαν σε άλλες χειρουργικές ειδικότητες.</w:t>
      </w:r>
    </w:p>
    <w:p>
      <w:pPr>
        <w:widowControl w:val="false"/>
        <w:suppressAutoHyphens w:val="true"/>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Από τους ειδικευόμενους που τελείωσαν Γενική Χειρουργική: </w:t>
      </w:r>
    </w:p>
    <w:p>
      <w:pPr>
        <w:widowControl w:val="false"/>
        <w:suppressAutoHyphens w:val="true"/>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ένας υπηρετεί σε θέση Καθηγητή Χειρουργικής ΑΠΘ στην κλινική (κ.Αγγελοπούλος)</w:t>
      </w:r>
    </w:p>
    <w:p>
      <w:pPr>
        <w:widowControl w:val="false"/>
        <w:suppressAutoHyphens w:val="true"/>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δύο  υπηρετούν σε θέση Επίκουρου Καθηγητή Χειρουργικής στην κλινική (κ.Μαντζώρος, κ.Πραματευτάκης)</w:t>
      </w:r>
    </w:p>
    <w:p>
      <w:pPr>
        <w:widowControl w:val="false"/>
        <w:suppressAutoHyphens w:val="true"/>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δύο υπηρετούν σε θέση Ακαδημαϊκού Υποτρόφου στην κλινική (κ.Ιωαννίδης, κ.Αντωνίου)</w:t>
      </w:r>
    </w:p>
    <w:p>
      <w:pPr>
        <w:widowControl w:val="false"/>
        <w:suppressAutoHyphens w:val="true"/>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ένας  υπηρετεί ως </w:t>
      </w:r>
      <w:r>
        <w:rPr>
          <w:rFonts w:ascii="Times New Roman" w:hAnsi="Times New Roman" w:cs="Times New Roman" w:eastAsia="Times New Roman"/>
          <w:color w:val="auto"/>
          <w:spacing w:val="0"/>
          <w:position w:val="0"/>
          <w:sz w:val="24"/>
          <w:shd w:fill="FFFFFF" w:val="clear"/>
        </w:rPr>
        <w:t xml:space="preserve">Consultant Transplant Surgeon στο</w:t>
      </w:r>
      <w:r>
        <w:rPr>
          <w:rFonts w:ascii="Times New Roman" w:hAnsi="Times New Roman" w:cs="Times New Roman" w:eastAsia="Times New Roman"/>
          <w:color w:val="auto"/>
          <w:spacing w:val="0"/>
          <w:position w:val="0"/>
          <w:sz w:val="24"/>
          <w:shd w:fill="auto" w:val="clear"/>
        </w:rPr>
        <w:t xml:space="preserve"> Oxford University Hospital(κ. Γ. Βρακάς) </w:t>
      </w:r>
    </w:p>
    <w:p>
      <w:pPr>
        <w:widowControl w:val="false"/>
        <w:suppressAutoHyphens w:val="true"/>
        <w:spacing w:before="0" w:after="160" w:line="259"/>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auto" w:val="clear"/>
        </w:rPr>
        <w:t xml:space="preserve">ένας υπηρετεί ως Fachartz στο </w:t>
      </w:r>
      <w:r>
        <w:rPr>
          <w:rFonts w:ascii="Times New Roman" w:hAnsi="Times New Roman" w:cs="Times New Roman" w:eastAsia="Times New Roman"/>
          <w:color w:val="auto"/>
          <w:spacing w:val="0"/>
          <w:position w:val="0"/>
          <w:sz w:val="24"/>
          <w:shd w:fill="FFFFFF" w:val="clear"/>
        </w:rPr>
        <w:t xml:space="preserve">Universit</w:t>
      </w:r>
      <w:r>
        <w:rPr>
          <w:rFonts w:ascii="Times New Roman" w:hAnsi="Times New Roman" w:cs="Times New Roman" w:eastAsia="Times New Roman"/>
          <w:color w:val="auto"/>
          <w:spacing w:val="0"/>
          <w:position w:val="0"/>
          <w:sz w:val="24"/>
          <w:shd w:fill="FFFFFF" w:val="clear"/>
        </w:rPr>
        <w:t xml:space="preserve">ätsklinikum Erlangen(</w:t>
      </w:r>
      <w:r>
        <w:rPr>
          <w:rFonts w:ascii="Times New Roman" w:hAnsi="Times New Roman" w:cs="Times New Roman" w:eastAsia="Times New Roman"/>
          <w:color w:val="auto"/>
          <w:spacing w:val="0"/>
          <w:position w:val="0"/>
          <w:sz w:val="24"/>
          <w:shd w:fill="FFFFFF" w:val="clear"/>
        </w:rPr>
        <w:t xml:space="preserve">κ. Δ. Ράπτης)</w:t>
      </w:r>
    </w:p>
    <w:p>
      <w:pPr>
        <w:widowControl w:val="false"/>
        <w:suppressAutoHyphens w:val="true"/>
        <w:spacing w:before="0" w:after="160" w:line="259"/>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οκτώ  σε θέσεις ιατρών του ΕΣΥ</w:t>
      </w:r>
    </w:p>
    <w:p>
      <w:pPr>
        <w:widowControl w:val="false"/>
        <w:suppressAutoHyphens w:val="true"/>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Επίσης </w:t>
      </w:r>
      <w:r>
        <w:rPr>
          <w:rFonts w:ascii="Times New Roman" w:hAnsi="Times New Roman" w:cs="Times New Roman" w:eastAsia="Times New Roman"/>
          <w:b/>
          <w:color w:val="auto"/>
          <w:spacing w:val="0"/>
          <w:position w:val="0"/>
          <w:sz w:val="24"/>
          <w:shd w:fill="auto" w:val="clear"/>
        </w:rPr>
        <w:t xml:space="preserve">ασκήθηκαν 51 ειδικευόμενοι της Γενικής Ιατρικής</w:t>
      </w:r>
    </w:p>
    <w:p>
      <w:pPr>
        <w:widowControl w:val="false"/>
        <w:suppressAutoHyphens w:val="true"/>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Σήμερα ασκούνται στην κλινική εννέα ειδικευόμενοι</w:t>
      </w:r>
    </w:p>
    <w:p>
      <w:pPr>
        <w:widowControl w:val="false"/>
        <w:suppressAutoHyphens w:val="true"/>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widowControl w:val="false"/>
        <w:suppressAutoHyphens w:val="true"/>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Ολοκληρωθήκαν 27 διδακτορικές διατριβές</w:t>
      </w:r>
      <w:r>
        <w:rPr>
          <w:rFonts w:ascii="Times New Roman" w:hAnsi="Times New Roman" w:cs="Times New Roman" w:eastAsia="Times New Roman"/>
          <w:color w:val="auto"/>
          <w:spacing w:val="0"/>
          <w:position w:val="0"/>
          <w:sz w:val="24"/>
          <w:shd w:fill="auto" w:val="clear"/>
        </w:rPr>
        <w:t xml:space="preserve"> και έιναι </w:t>
      </w:r>
      <w:r>
        <w:rPr>
          <w:rFonts w:ascii="Times New Roman" w:hAnsi="Times New Roman" w:cs="Times New Roman" w:eastAsia="Times New Roman"/>
          <w:b/>
          <w:color w:val="auto"/>
          <w:spacing w:val="0"/>
          <w:position w:val="0"/>
          <w:sz w:val="24"/>
          <w:shd w:fill="auto" w:val="clear"/>
        </w:rPr>
        <w:t xml:space="preserve">υπό εκπόνηση 11.</w:t>
      </w:r>
      <w:r>
        <w:rPr>
          <w:rFonts w:ascii="Times New Roman" w:hAnsi="Times New Roman" w:cs="Times New Roman" w:eastAsia="Times New Roman"/>
          <w:color w:val="auto"/>
          <w:spacing w:val="0"/>
          <w:position w:val="0"/>
          <w:sz w:val="24"/>
          <w:shd w:fill="auto" w:val="clear"/>
        </w:rPr>
        <w:t xml:space="preserve"> </w:t>
      </w:r>
    </w:p>
    <w:p>
      <w:pPr>
        <w:widowControl w:val="false"/>
        <w:suppressAutoHyphens w:val="true"/>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widowControl w:val="false"/>
        <w:suppressAutoHyphens w:val="true"/>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Ολοκληρωμένες διατριβές:</w:t>
      </w:r>
    </w:p>
    <w:p>
      <w:pPr>
        <w:widowControl w:val="false"/>
        <w:suppressAutoHyphens w:val="true"/>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widowControl w:val="false"/>
        <w:numPr>
          <w:ilvl w:val="0"/>
          <w:numId w:val="3"/>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Απολίνωση παγκρεατικού πόρου σε σύγκριση με έμφραξη του με προλαμίνη</w:t>
      </w:r>
    </w:p>
    <w:p>
      <w:pPr>
        <w:widowControl w:val="false"/>
        <w:suppressAutoHyphens w:val="true"/>
        <w:spacing w:before="0" w:after="0" w:line="240"/>
        <w:ind w:right="0" w:left="14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 Αγγελόπουλος (κ.Παπαδημητρίου,κ. Σακαντάμης, κ.Μπότσιος)</w:t>
      </w:r>
    </w:p>
    <w:p>
      <w:pPr>
        <w:widowControl w:val="false"/>
        <w:numPr>
          <w:ilvl w:val="0"/>
          <w:numId w:val="5"/>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Μεταβολές των επιπέδων της γαστρίνης, σεκρετίνης, σωματοστατίνης και χολοκυστοκινίνης του πλάσματος μετά από πλήρη καταργήση της εξωκρινούς παγκρεατικής λειτουργίας</w:t>
      </w:r>
    </w:p>
    <w:p>
      <w:pPr>
        <w:widowControl w:val="false"/>
        <w:suppressAutoHyphens w:val="true"/>
        <w:spacing w:before="0" w:after="0" w:line="240"/>
        <w:ind w:right="0" w:left="14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Ι. Σκάνδαλος (κ.Μαδένα-Πυργάκη, κ.Γιώβος, κ.Μπότσιος)</w:t>
      </w:r>
    </w:p>
    <w:p>
      <w:pPr>
        <w:widowControl w:val="false"/>
        <w:numPr>
          <w:ilvl w:val="0"/>
          <w:numId w:val="7"/>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Η επίδραση της ισχαιμίας στο ήπαρ πειραματοζώων με αποφρακτικό ίκτερο</w:t>
      </w:r>
    </w:p>
    <w:p>
      <w:pPr>
        <w:widowControl w:val="false"/>
        <w:tabs>
          <w:tab w:val="left" w:pos="360" w:leader="none"/>
        </w:tabs>
        <w:suppressAutoHyphens w:val="true"/>
        <w:spacing w:before="0" w:after="0" w:line="240"/>
        <w:ind w:right="0" w:left="14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Χ. Οδυσσέως (κ.Tσαλής, κ.Αντωνιάδης, κ.Χαρλαύτης)</w:t>
      </w:r>
    </w:p>
    <w:p>
      <w:pPr>
        <w:widowControl w:val="false"/>
        <w:suppressAutoHyphens w:val="true"/>
        <w:spacing w:before="0" w:after="160" w:line="259"/>
        <w:ind w:right="0" w:left="720" w:firstLine="0"/>
        <w:jc w:val="both"/>
        <w:rPr>
          <w:rFonts w:ascii="Times New Roman" w:hAnsi="Times New Roman" w:cs="Times New Roman" w:eastAsia="Times New Roman"/>
          <w:color w:val="auto"/>
          <w:spacing w:val="0"/>
          <w:position w:val="0"/>
          <w:sz w:val="24"/>
          <w:shd w:fill="auto" w:val="clear"/>
        </w:rPr>
      </w:pPr>
    </w:p>
    <w:p>
      <w:pPr>
        <w:widowControl w:val="false"/>
        <w:numPr>
          <w:ilvl w:val="0"/>
          <w:numId w:val="10"/>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Μαζικός πληθυσμός για την έγκαιρη διάγνωση ασυμπτωματικών νεοπλασιών του παχέος εντέρου</w:t>
      </w:r>
    </w:p>
    <w:p>
      <w:pPr>
        <w:widowControl w:val="false"/>
        <w:tabs>
          <w:tab w:val="left" w:pos="360" w:leader="none"/>
        </w:tabs>
        <w:suppressAutoHyphens w:val="true"/>
        <w:spacing w:before="0" w:after="0" w:line="240"/>
        <w:ind w:right="0" w:left="14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Θ. Χρυσίδης (κ.Μπένος, κ.Μπέτσης,κ. Χαρλαύτης)</w:t>
      </w:r>
    </w:p>
    <w:p>
      <w:pPr>
        <w:widowControl w:val="false"/>
        <w:suppressAutoHyphens w:val="true"/>
        <w:spacing w:before="0" w:after="160" w:line="259"/>
        <w:ind w:right="0" w:left="360" w:firstLine="0"/>
        <w:jc w:val="both"/>
        <w:rPr>
          <w:rFonts w:ascii="Times New Roman" w:hAnsi="Times New Roman" w:cs="Times New Roman" w:eastAsia="Times New Roman"/>
          <w:color w:val="auto"/>
          <w:spacing w:val="0"/>
          <w:position w:val="0"/>
          <w:sz w:val="24"/>
          <w:shd w:fill="auto" w:val="clear"/>
        </w:rPr>
      </w:pPr>
    </w:p>
    <w:p>
      <w:pPr>
        <w:widowControl w:val="false"/>
        <w:numPr>
          <w:ilvl w:val="0"/>
          <w:numId w:val="13"/>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Συμβολή της ιστικής οξυμετρίας στη μελέτη της νεφρικής δυσλειτουργίας κατά το σύνδρομο κοιλιακού διαμερίσματος</w:t>
      </w:r>
    </w:p>
    <w:p>
      <w:pPr>
        <w:widowControl w:val="false"/>
        <w:tabs>
          <w:tab w:val="left" w:pos="360" w:leader="none"/>
        </w:tabs>
        <w:suppressAutoHyphens w:val="true"/>
        <w:spacing w:before="0" w:after="0" w:line="240"/>
        <w:ind w:right="0" w:left="14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 Ναλμπάντη (κ.Μπότσιος, κ.Χαρλαύτης, κ.Ρεϊζογλου)</w:t>
      </w:r>
    </w:p>
    <w:p>
      <w:pPr>
        <w:widowControl w:val="false"/>
        <w:suppressAutoHyphens w:val="true"/>
        <w:spacing w:before="0" w:after="160" w:line="259"/>
        <w:ind w:right="0" w:left="360" w:firstLine="0"/>
        <w:jc w:val="both"/>
        <w:rPr>
          <w:rFonts w:ascii="Times New Roman" w:hAnsi="Times New Roman" w:cs="Times New Roman" w:eastAsia="Times New Roman"/>
          <w:color w:val="auto"/>
          <w:spacing w:val="0"/>
          <w:position w:val="0"/>
          <w:sz w:val="24"/>
          <w:shd w:fill="auto" w:val="clear"/>
        </w:rPr>
      </w:pPr>
    </w:p>
    <w:p>
      <w:pPr>
        <w:widowControl w:val="false"/>
        <w:numPr>
          <w:ilvl w:val="0"/>
          <w:numId w:val="16"/>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Η επίδραση του διπεπτιδίου αλανίνης – γλουταμίνης στις αλλοιώσεις του νεφρού από ισχαιμία – επαναιμάτωση του λεπτού εντέρου</w:t>
      </w:r>
    </w:p>
    <w:p>
      <w:pPr>
        <w:widowControl w:val="false"/>
        <w:suppressAutoHyphens w:val="true"/>
        <w:spacing w:before="0" w:after="0" w:line="240"/>
        <w:ind w:right="0" w:left="14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Δ. Καζαντζίδου (κ.Τσαλής, κ.Μπέτσης,κ. Κισκίνης)</w:t>
      </w:r>
    </w:p>
    <w:p>
      <w:pPr>
        <w:widowControl w:val="false"/>
        <w:suppressAutoHyphens w:val="true"/>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widowControl w:val="false"/>
        <w:numPr>
          <w:ilvl w:val="0"/>
          <w:numId w:val="19"/>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Η επίδραση του διπεπτιδίου αλανίνης – γλουταμίνης στις αλλοιώσεις του ήπατος από ισχαιμία – επαναιμάτωση του λεπτού εντέρου</w:t>
      </w:r>
    </w:p>
    <w:p>
      <w:pPr>
        <w:widowControl w:val="false"/>
        <w:suppressAutoHyphens w:val="true"/>
        <w:spacing w:before="0" w:after="0" w:line="240"/>
        <w:ind w:right="0" w:left="14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Ι. Γκουλιμάρης (κ.Κανέλλος, κ.Χ</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Μπαλόγλου, κ.Μπέτσης)</w:t>
      </w:r>
    </w:p>
    <w:p>
      <w:pPr>
        <w:widowControl w:val="false"/>
        <w:suppressAutoHyphens w:val="true"/>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widowControl w:val="false"/>
        <w:numPr>
          <w:ilvl w:val="0"/>
          <w:numId w:val="22"/>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Μελέτη των μεταβολών της ιστικής οξυγόνωσης του νεφρού με την μέθοδο της ιστικής οξυμετρίας σε σύνδρομο κοιλιακού διαμερίσματος και σήψη</w:t>
      </w:r>
    </w:p>
    <w:p>
      <w:pPr>
        <w:widowControl w:val="false"/>
        <w:suppressAutoHyphens w:val="true"/>
        <w:spacing w:before="0" w:after="0" w:line="240"/>
        <w:ind w:right="0" w:left="14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 Καλφάδης (κ.Μπότσιος, κ.Χαρλαύτης,κ. Κιουμής)</w:t>
      </w:r>
    </w:p>
    <w:p>
      <w:pPr>
        <w:widowControl w:val="false"/>
        <w:suppressAutoHyphens w:val="true"/>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widowControl w:val="false"/>
        <w:numPr>
          <w:ilvl w:val="0"/>
          <w:numId w:val="25"/>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Η επίδραση του παράγοντα IGF-I  στην επούλωση της αναστόμωσης του παχέος εντέρου σε επίμυες υπό κορτιζονοθεραπεία</w:t>
      </w:r>
    </w:p>
    <w:p>
      <w:pPr>
        <w:widowControl w:val="false"/>
        <w:suppressAutoHyphens w:val="true"/>
        <w:spacing w:before="0" w:after="0" w:line="240"/>
        <w:ind w:right="0" w:left="14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Ι. Μαντζώρος (κ.Κανέλλος, κ.Μπέτσης, κ.Ζαραμπούκας)</w:t>
      </w:r>
    </w:p>
    <w:p>
      <w:pPr>
        <w:widowControl w:val="false"/>
        <w:suppressAutoHyphens w:val="true"/>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widowControl w:val="false"/>
        <w:numPr>
          <w:ilvl w:val="0"/>
          <w:numId w:val="28"/>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Η επίδραση της ιλοπρόστης στην επούλωση αναστόμωσης παχέος εντέρου επίμυων υπό χημειοθεραπεία με 5-φθοριοουρακίλη και φυλλινικό ασβέστιο</w:t>
      </w:r>
    </w:p>
    <w:p>
      <w:pPr>
        <w:widowControl w:val="false"/>
        <w:suppressAutoHyphens w:val="true"/>
        <w:spacing w:before="0" w:after="0" w:line="240"/>
        <w:ind w:right="0" w:left="14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Κ. Βασιλειάδης (κ.Κανέλλος, κ.Μπέτσης, κ.Σακαντάμης)</w:t>
      </w:r>
    </w:p>
    <w:p>
      <w:pPr>
        <w:widowControl w:val="false"/>
        <w:suppressAutoHyphens w:val="true"/>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widowControl w:val="false"/>
        <w:numPr>
          <w:ilvl w:val="0"/>
          <w:numId w:val="31"/>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Η επίδραση του παράγοντα IGF-1 στην επούλωση αναστόμωσης παχέος εντέρου σε επίμυες υπό χημειοθεραπεία με 5-φθοριοουρακίλη.</w:t>
      </w:r>
    </w:p>
    <w:p>
      <w:pPr>
        <w:widowControl w:val="false"/>
        <w:suppressAutoHyphens w:val="true"/>
        <w:spacing w:before="0" w:after="0" w:line="240"/>
        <w:ind w:right="0" w:left="14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Εμ. Ζαχαράκης  ( κ.Δημητριάδης, κ.Μπέτσης, κ.Κολιάκος)</w:t>
      </w:r>
    </w:p>
    <w:p>
      <w:pPr>
        <w:widowControl w:val="false"/>
        <w:suppressAutoHyphens w:val="true"/>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widowControl w:val="false"/>
        <w:numPr>
          <w:ilvl w:val="0"/>
          <w:numId w:val="34"/>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Η επίδραση της αυξητικής ορμόνης (GH) στην επούλωση αναστόμωσης παχέος εντέρου σε επίμυες υπό χημειοθεραπεία με 5-Fluoroutacil, bleomycin και cisplatin</w:t>
      </w:r>
    </w:p>
    <w:p>
      <w:pPr>
        <w:widowControl w:val="false"/>
        <w:suppressAutoHyphens w:val="true"/>
        <w:spacing w:before="0" w:after="0" w:line="240"/>
        <w:ind w:right="0" w:left="14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Ι. Λάμπρου (κ.Δημητριάδης, κ.Μπέτσης, κ.Κολιάκος)</w:t>
      </w:r>
    </w:p>
    <w:p>
      <w:pPr>
        <w:widowControl w:val="false"/>
        <w:suppressAutoHyphens w:val="true"/>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widowControl w:val="false"/>
        <w:numPr>
          <w:ilvl w:val="0"/>
          <w:numId w:val="37"/>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Η αντιθρομβίνη ΙΙΙ στην πρόληψη της νεφρικής βλάβης μετά από εντερική ισχαιμία και σύνδρομο επαναιμάτωσης. Πειραματική εργασία σε επίμυες.</w:t>
      </w:r>
    </w:p>
    <w:p>
      <w:pPr>
        <w:widowControl w:val="false"/>
        <w:suppressAutoHyphens w:val="true"/>
        <w:spacing w:before="0" w:after="0" w:line="240"/>
        <w:ind w:right="0" w:left="14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Θ. Τσάχαλης (κ.Χριστοφορίδης, κ.Μπέτσης, κ.Κολιάκος)</w:t>
      </w:r>
    </w:p>
    <w:p>
      <w:pPr>
        <w:widowControl w:val="false"/>
        <w:suppressAutoHyphens w:val="true"/>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widowControl w:val="false"/>
        <w:numPr>
          <w:ilvl w:val="0"/>
          <w:numId w:val="40"/>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Η επίδραση της οξαλιπλατίνης στην επούλωση αναστομώσεων παχέος εντέρου επίμυων υπό χημειοθεραπτεία</w:t>
      </w:r>
    </w:p>
    <w:p>
      <w:pPr>
        <w:widowControl w:val="false"/>
        <w:suppressAutoHyphens w:val="true"/>
        <w:spacing w:before="0" w:after="0" w:line="240"/>
        <w:ind w:right="0" w:left="14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Κ. Μπλούχος (κ.Κανέλλος, κ.Μπέτσης, κ.Σακαντάμης)</w:t>
      </w:r>
    </w:p>
    <w:p>
      <w:pPr>
        <w:widowControl w:val="false"/>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widowControl w:val="false"/>
        <w:numPr>
          <w:ilvl w:val="0"/>
          <w:numId w:val="43"/>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Η επίδραση της γλουταμίνης και των συμβιοτικών (ευβιοτικών και προβιοτικών) στην επουλωτική διαδικασία του παχέος εντέρου</w:t>
      </w:r>
    </w:p>
    <w:p>
      <w:pPr>
        <w:widowControl w:val="false"/>
        <w:suppressAutoHyphens w:val="true"/>
        <w:spacing w:before="0" w:after="0" w:line="240"/>
        <w:ind w:right="0" w:left="14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Ν. Σαπίδης (κ.Μπότσιος, κ.Μπέτσης, κ.Μακρής)</w:t>
      </w:r>
    </w:p>
    <w:p>
      <w:pPr>
        <w:widowControl w:val="false"/>
        <w:suppressAutoHyphens w:val="true"/>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widowControl w:val="false"/>
        <w:numPr>
          <w:ilvl w:val="0"/>
          <w:numId w:val="46"/>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Η επίδραση της ενδοπεριτοναϊκής χορήγησης ιρινοτεκάνης και 5-φλουορουρακίλης στην επούλωση αναστομώσεων παχέος εντέρου επίμυων</w:t>
      </w:r>
    </w:p>
    <w:p>
      <w:pPr>
        <w:widowControl w:val="false"/>
        <w:suppressAutoHyphens w:val="true"/>
        <w:spacing w:before="0" w:after="0" w:line="240"/>
        <w:ind w:right="0" w:left="14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Μαν-Γεω. Πραματευτάκης (κ.Δημητριάδης, κ.Σακαντάμης, κ.Μακρής)</w:t>
      </w:r>
    </w:p>
    <w:p>
      <w:pPr>
        <w:widowControl w:val="false"/>
        <w:suppressAutoHyphens w:val="true"/>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widowControl w:val="false"/>
        <w:numPr>
          <w:ilvl w:val="0"/>
          <w:numId w:val="49"/>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Η επούλωση αναστομώσεων παχέος εντέρου μετά ενδοπεριτοναίκή χορήγηση οξαλιπλατίνας και 5 – φλουορουρακίλης</w:t>
      </w:r>
    </w:p>
    <w:p>
      <w:pPr>
        <w:widowControl w:val="false"/>
        <w:suppressAutoHyphens w:val="true"/>
        <w:spacing w:before="0" w:after="0" w:line="240"/>
        <w:ind w:right="0" w:left="14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Δ. Κανέλλος (κ.Δημητριάδης, κ.Ατματζίδης, κ.Τσαντήλας)</w:t>
      </w:r>
    </w:p>
    <w:p>
      <w:pPr>
        <w:widowControl w:val="false"/>
        <w:suppressAutoHyphens w:val="true"/>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widowControl w:val="false"/>
        <w:numPr>
          <w:ilvl w:val="0"/>
          <w:numId w:val="52"/>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πίδραση της κόλλας αλβουμίνης – γλουταραλδεϋδης στην επούλωση αναστομώσεων του παχέος εντέρου επίμυων σε συνθήκες αποφρακτικού ειλεού</w:t>
      </w:r>
    </w:p>
    <w:p>
      <w:pPr>
        <w:widowControl w:val="false"/>
        <w:suppressAutoHyphens w:val="true"/>
        <w:spacing w:before="0" w:after="0" w:line="240"/>
        <w:ind w:right="0" w:left="14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Κ. Δεσπούδη (κ.Αγγελόπουλος, κ.Κανελλος, κ.Ζαραμπούκας)</w:t>
      </w:r>
    </w:p>
    <w:p>
      <w:pPr>
        <w:widowControl w:val="false"/>
        <w:suppressAutoHyphens w:val="true"/>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widowControl w:val="false"/>
        <w:numPr>
          <w:ilvl w:val="0"/>
          <w:numId w:val="55"/>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Ο συνδυασμός των συμβιοτικών και των ω-3 λιπαρών οξέων στην αντιμετώπιση της ελκώδους κολίτιδας. Πειραματική μελέτη σε επίμυες</w:t>
      </w:r>
      <w:r>
        <w:rPr>
          <w:rFonts w:ascii="Times New Roman" w:hAnsi="Times New Roman" w:cs="Times New Roman" w:eastAsia="Times New Roman"/>
          <w:color w:val="auto"/>
          <w:spacing w:val="0"/>
          <w:position w:val="0"/>
          <w:sz w:val="24"/>
          <w:shd w:fill="auto" w:val="clear"/>
        </w:rPr>
        <w:t xml:space="preserve">». </w:t>
      </w:r>
    </w:p>
    <w:p>
      <w:pPr>
        <w:widowControl w:val="false"/>
        <w:suppressAutoHyphens w:val="true"/>
        <w:spacing w:before="0" w:after="0" w:line="240"/>
        <w:ind w:right="0" w:left="14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Ι. Βαρναλίδης (κ.Μπότσιος, κ.Χριστοφορίδης, κ.Ευγενίδης)</w:t>
      </w:r>
    </w:p>
    <w:p>
      <w:pPr>
        <w:widowControl w:val="false"/>
        <w:suppressAutoHyphens w:val="true"/>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widowControl w:val="false"/>
        <w:numPr>
          <w:ilvl w:val="0"/>
          <w:numId w:val="58"/>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Επίδραση της ισχαιμικής προετοιμασίας του εντέρου με ή χωρίς τη χορήγηση αντιθρομβίνης στη βλάβη του ήπατος μετά από ισχαιμία/επαναιμάτωση του λεπτού εντέρου (Πειραματική μελέτη σε αρουραίους) </w:t>
      </w:r>
    </w:p>
    <w:p>
      <w:pPr>
        <w:widowControl w:val="false"/>
        <w:suppressAutoHyphens w:val="true"/>
        <w:spacing w:before="0" w:after="0" w:line="240"/>
        <w:ind w:right="0" w:left="14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 Βρακάς (κ.Τσαλής,κ.Χριστοφορίδης, κ.Προυσαλίδης)</w:t>
      </w:r>
    </w:p>
    <w:p>
      <w:pPr>
        <w:widowControl w:val="false"/>
        <w:suppressAutoHyphens w:val="true"/>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widowControl w:val="false"/>
        <w:numPr>
          <w:ilvl w:val="0"/>
          <w:numId w:val="61"/>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Επίδραση της ισχαιμικής προετοιμασίας  του εντέρου με ή χωρίς τη χορήγηση  της αντιθρομβίνης στη βλάβη των νεφρών μετά από ισχαιμία/επαναιμάτωση του λεπτού εντέρου (Πειραματική μελέτη σε αρουραίους) </w:t>
      </w:r>
    </w:p>
    <w:p>
      <w:pPr>
        <w:widowControl w:val="false"/>
        <w:suppressAutoHyphens w:val="true"/>
        <w:spacing w:before="0" w:after="0" w:line="240"/>
        <w:ind w:right="0" w:left="14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Γ-Ν. Ρόϊδος (κ.Χριστοφορίδης,  κ.Λαζαρίδης, κ.Τσαλής)</w:t>
      </w:r>
    </w:p>
    <w:p>
      <w:pPr>
        <w:widowControl w:val="false"/>
        <w:suppressAutoHyphens w:val="true"/>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widowControl w:val="false"/>
        <w:numPr>
          <w:ilvl w:val="0"/>
          <w:numId w:val="64"/>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 </w:t>
      </w:r>
      <w:r>
        <w:rPr>
          <w:rFonts w:ascii="Times New Roman" w:hAnsi="Times New Roman" w:cs="Times New Roman" w:eastAsia="Times New Roman"/>
          <w:color w:val="auto"/>
          <w:spacing w:val="0"/>
          <w:position w:val="0"/>
          <w:sz w:val="24"/>
          <w:shd w:fill="auto" w:val="clear"/>
        </w:rPr>
        <w:t xml:space="preserve">επίδραση αναλόγου προστακυκλίνης στην επούλωση  αναστομώσεων του παχέος εντέρου επίμυων σε συνθήκες αποφρακτικού ειλεού</w:t>
      </w:r>
      <w:r>
        <w:rPr>
          <w:rFonts w:ascii="Times New Roman" w:hAnsi="Times New Roman" w:cs="Times New Roman" w:eastAsia="Times New Roman"/>
          <w:color w:val="auto"/>
          <w:spacing w:val="0"/>
          <w:position w:val="0"/>
          <w:sz w:val="24"/>
          <w:shd w:fill="auto" w:val="clear"/>
        </w:rPr>
        <w:t xml:space="preserve">»</w:t>
      </w:r>
    </w:p>
    <w:p>
      <w:pPr>
        <w:widowControl w:val="false"/>
        <w:suppressAutoHyphens w:val="true"/>
        <w:spacing w:before="0" w:after="0" w:line="240"/>
        <w:ind w:right="0" w:left="14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Γαλανόπουλος Γεώργιος (κ.Κανέλλος, κ.Τσαντήλας, κ.Αγγελόπουλος)</w:t>
      </w:r>
    </w:p>
    <w:p>
      <w:pPr>
        <w:widowControl w:val="false"/>
        <w:suppressAutoHyphens w:val="true"/>
        <w:spacing w:before="0" w:after="160" w:line="259"/>
        <w:ind w:right="0" w:left="1110" w:firstLine="0"/>
        <w:jc w:val="both"/>
        <w:rPr>
          <w:rFonts w:ascii="Times New Roman" w:hAnsi="Times New Roman" w:cs="Times New Roman" w:eastAsia="Times New Roman"/>
          <w:color w:val="auto"/>
          <w:spacing w:val="0"/>
          <w:position w:val="0"/>
          <w:sz w:val="24"/>
          <w:shd w:fill="auto" w:val="clear"/>
        </w:rPr>
      </w:pPr>
    </w:p>
    <w:p>
      <w:pPr>
        <w:widowControl w:val="false"/>
        <w:numPr>
          <w:ilvl w:val="0"/>
          <w:numId w:val="67"/>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 </w:t>
      </w:r>
      <w:r>
        <w:rPr>
          <w:rFonts w:ascii="Times New Roman" w:hAnsi="Times New Roman" w:cs="Times New Roman" w:eastAsia="Times New Roman"/>
          <w:color w:val="auto"/>
          <w:spacing w:val="0"/>
          <w:position w:val="0"/>
          <w:sz w:val="24"/>
          <w:shd w:fill="auto" w:val="clear"/>
        </w:rPr>
        <w:t xml:space="preserve">επίδραση της τακρολίμης στην επούλωση αναστομώσεων του παχέος εντέρου επίμυων σε συνθήκες αποφρακτικού ειλεού</w:t>
      </w:r>
    </w:p>
    <w:p>
      <w:pPr>
        <w:widowControl w:val="false"/>
        <w:suppressAutoHyphens w:val="true"/>
        <w:spacing w:before="0" w:after="0" w:line="240"/>
        <w:ind w:right="0" w:left="14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Ράπτης Δημήτριος (κ.Κανέλλος, κ.Σπυρίδης, κ.Δημητριάδης)</w:t>
      </w:r>
    </w:p>
    <w:p>
      <w:pPr>
        <w:widowControl w:val="false"/>
        <w:suppressAutoHyphens w:val="true"/>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widowControl w:val="false"/>
        <w:numPr>
          <w:ilvl w:val="0"/>
          <w:numId w:val="70"/>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Η συνδυασμένη δράση της MESNA και των πολυακόρεστων ω-3 λιπαρών οξέων στην αντιμετώπιση της ελκώδους κολίτιδας. Πειραματική μελέτη σε επίμυες.</w:t>
      </w:r>
    </w:p>
    <w:p>
      <w:pPr>
        <w:widowControl w:val="false"/>
        <w:suppressAutoHyphens w:val="true"/>
        <w:spacing w:before="0" w:after="0" w:line="240"/>
        <w:ind w:right="0" w:left="14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Τριανταφυλλιδης Ιωάννης (κ.Μπότσιος, κ.Λαζαρίδης, κ.Κεσίσογλου)</w:t>
      </w:r>
    </w:p>
    <w:p>
      <w:pPr>
        <w:widowControl w:val="false"/>
        <w:suppressAutoHyphens w:val="true"/>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widowControl w:val="false"/>
        <w:numPr>
          <w:ilvl w:val="0"/>
          <w:numId w:val="73"/>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 </w:t>
      </w:r>
      <w:r>
        <w:rPr>
          <w:rFonts w:ascii="Times New Roman" w:hAnsi="Times New Roman" w:cs="Times New Roman" w:eastAsia="Times New Roman"/>
          <w:color w:val="auto"/>
          <w:spacing w:val="0"/>
          <w:position w:val="0"/>
          <w:sz w:val="24"/>
          <w:shd w:fill="auto" w:val="clear"/>
        </w:rPr>
        <w:t xml:space="preserve">επίδραση της χορήγησης Ω3 λιπαρών οξέων και αντιοξειδωτικών στην ισχαιμική εντερίτιδα  (Πειραματική μελέτη σε επίμυες</w:t>
      </w:r>
    </w:p>
    <w:p>
      <w:pPr>
        <w:widowControl w:val="false"/>
        <w:suppressAutoHyphens w:val="true"/>
        <w:spacing w:before="0" w:after="0" w:line="240"/>
        <w:ind w:right="0" w:left="14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Κουκουριτάκη Ζαμπία (κ.Δημητριάδης, κ.Αγγελόπουλος, κ.Ζαραμπούκας)</w:t>
      </w:r>
    </w:p>
    <w:p>
      <w:pPr>
        <w:widowControl w:val="false"/>
        <w:suppressAutoHyphens w:val="true"/>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widowControl w:val="false"/>
        <w:numPr>
          <w:ilvl w:val="0"/>
          <w:numId w:val="76"/>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 </w:t>
      </w:r>
      <w:r>
        <w:rPr>
          <w:rFonts w:ascii="Times New Roman" w:hAnsi="Times New Roman" w:cs="Times New Roman" w:eastAsia="Times New Roman"/>
          <w:color w:val="auto"/>
          <w:spacing w:val="0"/>
          <w:position w:val="0"/>
          <w:sz w:val="24"/>
          <w:shd w:fill="auto" w:val="clear"/>
        </w:rPr>
        <w:t xml:space="preserve">επίδραση της συνδυασμένης χορήγησης Ω3 και Ω6 λιπαρών οξέων στην ελκώδη κολίτιδα. Πειραματική μελέτη σε επίμυες.</w:t>
      </w:r>
    </w:p>
    <w:p>
      <w:pPr>
        <w:widowControl w:val="false"/>
        <w:suppressAutoHyphens w:val="true"/>
        <w:spacing w:before="0" w:after="0" w:line="240"/>
        <w:ind w:right="0" w:left="144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Ιωαννίδης Ορέστης (κ.Μπότσιος, κ.Παπαζιώγας,κ. Κουτελιδάκης)</w:t>
      </w:r>
    </w:p>
    <w:p>
      <w:pPr>
        <w:widowControl w:val="false"/>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widowControl w:val="false"/>
        <w:numPr>
          <w:ilvl w:val="0"/>
          <w:numId w:val="79"/>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Μελέτη της φαρμακευτικής προετοιμασίας με δεσφλουράνιο στη χειρουργική του ήπατος.</w:t>
      </w:r>
    </w:p>
    <w:p>
      <w:pPr>
        <w:widowControl w:val="false"/>
        <w:suppressAutoHyphens w:val="true"/>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Κοράκη Ελένη (κ.Τσαλής, κ.Μπότσιος, κ.Κεσίσογλου)</w:t>
      </w:r>
    </w:p>
    <w:p>
      <w:pPr>
        <w:widowControl w:val="false"/>
        <w:suppressAutoHyphens w:val="true"/>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Υπό εκπόνηση:</w:t>
      </w:r>
    </w:p>
    <w:p>
      <w:pPr>
        <w:widowControl w:val="false"/>
        <w:numPr>
          <w:ilvl w:val="0"/>
          <w:numId w:val="81"/>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Συγκριτική μελέτη τοποθέτησης ενδοπεριτοναϊκών πλεγμάτων σε επίμυες υπό άσηπτες, δυνητικά σηπτικές και σηπτικές συνθήκες.</w:t>
      </w:r>
    </w:p>
    <w:p>
      <w:pPr>
        <w:widowControl w:val="false"/>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Μακραντωνάκης Απόστολος (Μπότσιος, Αγγελόπουλος, Παπαζιώγας)</w:t>
        <w:br/>
      </w:r>
    </w:p>
    <w:p>
      <w:pPr>
        <w:widowControl w:val="false"/>
        <w:numPr>
          <w:ilvl w:val="0"/>
          <w:numId w:val="83"/>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 </w:t>
      </w:r>
      <w:r>
        <w:rPr>
          <w:rFonts w:ascii="Times New Roman" w:hAnsi="Times New Roman" w:cs="Times New Roman" w:eastAsia="Times New Roman"/>
          <w:color w:val="auto"/>
          <w:spacing w:val="0"/>
          <w:position w:val="0"/>
          <w:sz w:val="24"/>
          <w:shd w:fill="auto" w:val="clear"/>
        </w:rPr>
        <w:t xml:space="preserve">επίδραση της σιμβαστατίνης στις επιπλοκές από την τοποθέτηση ενδοπεριτοναϊκού πλέγματος σε σηπτικό περιβάλλον. Πειραματική μελέτη σε επίμυες.</w:t>
      </w:r>
    </w:p>
    <w:p>
      <w:pPr>
        <w:widowControl w:val="false"/>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Κυζιρίδης Δημήτρης (Αγγελόπουλος, Μαντζώρος, Μηλιαράς)</w:t>
      </w:r>
    </w:p>
    <w:p>
      <w:pPr>
        <w:widowControl w:val="false"/>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widowControl w:val="false"/>
        <w:numPr>
          <w:ilvl w:val="0"/>
          <w:numId w:val="85"/>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 </w:t>
      </w:r>
      <w:r>
        <w:rPr>
          <w:rFonts w:ascii="Times New Roman" w:hAnsi="Times New Roman" w:cs="Times New Roman" w:eastAsia="Times New Roman"/>
          <w:color w:val="auto"/>
          <w:spacing w:val="0"/>
          <w:position w:val="0"/>
          <w:sz w:val="24"/>
          <w:shd w:fill="auto" w:val="clear"/>
        </w:rPr>
        <w:t xml:space="preserve">επίδραση της Ν-ακετυλοκυστεϊνης στις επιπλοκές από την τοποθέτηση ενδοπεριτοναϊκού πλέγματος σε σηπτικό περιβάλλον. Πειραματική μελέτη σε επίμυες.</w:t>
      </w:r>
    </w:p>
    <w:p>
      <w:pPr>
        <w:widowControl w:val="false"/>
        <w:numPr>
          <w:ilvl w:val="0"/>
          <w:numId w:val="85"/>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Παρπούδη Στέλλα (Αγγελόπουλος, Μαντζώρος, Μηλιαράς)</w:t>
      </w:r>
    </w:p>
    <w:p>
      <w:pPr>
        <w:widowControl w:val="false"/>
        <w:suppressAutoHyphens w:val="true"/>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widowControl w:val="false"/>
        <w:numPr>
          <w:ilvl w:val="0"/>
          <w:numId w:val="87"/>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Επίδραση της ισχαιμικής προετοιμασίας  (Ιschemic conditioning) με ή χωρίς τη φαρμακολογική προετοιμασία με ροξιθρομυκίνη στη βλάβη του νεφρού από ισχαιμία – επαναιμάτωση του ήπατος (Πειραμαιτική μελέτη)</w:t>
      </w:r>
    </w:p>
    <w:p>
      <w:pPr>
        <w:widowControl w:val="false"/>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Πατρίδας Δημήτρης (Τσαλής, Κανέλλος, Χριστοφορίδης)</w:t>
      </w:r>
    </w:p>
    <w:p>
      <w:pPr>
        <w:widowControl w:val="false"/>
        <w:suppressAutoHyphens w:val="true"/>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widowControl w:val="false"/>
        <w:numPr>
          <w:ilvl w:val="0"/>
          <w:numId w:val="90"/>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Επίδραση της ισχαιμικής προετοιμασίας ((Ιschemic conditioning) με ή χωρίς τη φαρμακολογική προετοιμασία με ροξιθρομυκίνη στη βλάβη του ήπατος  από ισχαιμία – επαναιμάτωση  (Πειραμαιτική μελέτη)</w:t>
      </w:r>
    </w:p>
    <w:p>
      <w:pPr>
        <w:widowControl w:val="false"/>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Αντωνίου Νικόλαος (Τσαλής, Λαζαρίδης, Παπαζιώγας)</w:t>
      </w:r>
    </w:p>
    <w:p>
      <w:pPr>
        <w:widowControl w:val="false"/>
        <w:suppressAutoHyphens w:val="true"/>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widowControl w:val="false"/>
        <w:numPr>
          <w:ilvl w:val="0"/>
          <w:numId w:val="93"/>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Η επίδραση των βλαστοκυττάρων στην αναγέννηση του ήπατος κατά την τεχνική ΑLPPS. Πειραματική μελέτη </w:t>
      </w:r>
    </w:p>
    <w:p>
      <w:pPr>
        <w:widowControl w:val="false"/>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Σαββάλα Ναταλία- Αντιγόνη (Τσαλής, Αγγελόπουλος, Νταουντάκη)</w:t>
      </w:r>
    </w:p>
    <w:p>
      <w:pPr>
        <w:widowControl w:val="false"/>
        <w:suppressAutoHyphens w:val="true"/>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widowControl w:val="false"/>
        <w:numPr>
          <w:ilvl w:val="0"/>
          <w:numId w:val="96"/>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Διερεύνηση της δυνατότητας ανάπλασης ελλείματος των απονευρώσεων του προσθίου κοιλιακού τοιχώματος, με τη χρήση απορροφήσιμου πλέγματος εμπλουτισμένου με βλαστοκύτταρα και με πλάσμα πλούσιο σε αιμοπετάλια σε επίμυες</w:t>
      </w:r>
    </w:p>
    <w:p>
      <w:pPr>
        <w:widowControl w:val="false"/>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Βασάλου Βαρβάρα (Κωτίδης, Πραματευτάκης, Κολιάκος)</w:t>
      </w:r>
    </w:p>
    <w:p>
      <w:pPr>
        <w:widowControl w:val="false"/>
        <w:suppressAutoHyphens w:val="true"/>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widowControl w:val="false"/>
        <w:numPr>
          <w:ilvl w:val="0"/>
          <w:numId w:val="99"/>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Διερεύνηση της δυνατότητας ανάπλασης ελλείμματος του τενοντίου κέντρου του διαφράγματος σε βλαστοκύτταρα και πλάσμα (PRP) πλούσιο σε αιμοπετάλια  (PLT) σε επίμυες</w:t>
      </w:r>
    </w:p>
    <w:p>
      <w:pPr>
        <w:widowControl w:val="false"/>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Σίμογλου Χρήστος (Κωτίδης, Πραματευτάκης, Παπαβραμίδης)</w:t>
      </w:r>
    </w:p>
    <w:p>
      <w:pPr>
        <w:widowControl w:val="false"/>
        <w:suppressAutoHyphens w:val="true"/>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widowControl w:val="false"/>
        <w:numPr>
          <w:ilvl w:val="0"/>
          <w:numId w:val="102"/>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Διερεύνηση της δυνατότητας ανάπλασης ελλείμματος των απονευρώσεων  του προσθίου κοιλιακού τοιχώματος σε επίμυες, με τη χρήση εμπλουτισμένου αππορροφήσιμου πλέγματος με μεσεγχυματικά βλαστικά κύτταρα του λιπώδους ιστού και με πλάσμα πλούσιο σε αιμοπετάλια παρουσία Escherichia Coli”.</w:t>
      </w:r>
    </w:p>
    <w:p>
      <w:pPr>
        <w:widowControl w:val="false"/>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άτσης Δημήτριος (Κωτίδης, Κολιάκος, Βενέτης) </w:t>
      </w:r>
    </w:p>
    <w:p>
      <w:pPr>
        <w:widowControl w:val="false"/>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widowControl w:val="false"/>
        <w:numPr>
          <w:ilvl w:val="0"/>
          <w:numId w:val="104"/>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Η επίδραση της έκπλυσης του περιτοναίου με λιδοκαΐνη και ροπιβακαΐνη στον       μετεγχειρητικό ειλεό σε επίμυες μετά από δεξιά κολεκτομή.</w:t>
      </w:r>
    </w:p>
    <w:p>
      <w:pPr>
        <w:widowControl w:val="false"/>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Δ. Κωνσταντάρας( Μαντζώρος, Τσαλής, Τσουλφάς)</w:t>
      </w:r>
    </w:p>
    <w:p>
      <w:pPr>
        <w:widowControl w:val="false"/>
        <w:suppressAutoHyphens w:val="true"/>
        <w:spacing w:before="0" w:after="160" w:line="259"/>
        <w:ind w:right="0" w:left="111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Ερευνητικά πρωτοκόλλα που ολοκληρωθήκαν:</w:t>
      </w:r>
    </w:p>
    <w:p>
      <w:pPr>
        <w:widowControl w:val="false"/>
        <w:suppressAutoHyphens w:val="true"/>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108"/>
        </w:numPr>
        <w:suppressAutoHyphens w:val="true"/>
        <w:spacing w:before="0" w:after="0" w:line="36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“International multidisciplinary consultation: Determinant-based classification of acute pancreatitis severity” by the “Pancreatitis Across Nations Clinical Research and Education Alliance (PANCREA)"</w:t>
      </w:r>
    </w:p>
    <w:p>
      <w:pPr>
        <w:widowControl w:val="false"/>
        <w:numPr>
          <w:ilvl w:val="0"/>
          <w:numId w:val="108"/>
        </w:numPr>
        <w:suppressAutoHyphens w:val="true"/>
        <w:spacing w:before="0" w:after="0" w:line="36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CIAO Study “Complicated intra-abdominal infections in Europe”</w:t>
      </w:r>
    </w:p>
    <w:p>
      <w:pPr>
        <w:widowControl w:val="false"/>
        <w:numPr>
          <w:ilvl w:val="0"/>
          <w:numId w:val="108"/>
        </w:numPr>
        <w:suppressAutoHyphens w:val="true"/>
        <w:spacing w:before="0" w:after="0" w:line="36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“International Surgical Outcomes Study (ISOS)”</w:t>
      </w:r>
    </w:p>
    <w:p>
      <w:pPr>
        <w:widowControl w:val="false"/>
        <w:numPr>
          <w:ilvl w:val="0"/>
          <w:numId w:val="108"/>
        </w:numPr>
        <w:suppressAutoHyphens w:val="true"/>
        <w:spacing w:before="0" w:after="0" w:line="36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WISS Study “World society of emergency surgery (WSES) complicated Intra-abdominal infections Score Study”</w:t>
      </w:r>
    </w:p>
    <w:p>
      <w:pPr>
        <w:widowControl w:val="false"/>
        <w:numPr>
          <w:ilvl w:val="0"/>
          <w:numId w:val="108"/>
        </w:numPr>
        <w:suppressAutoHyphens w:val="true"/>
        <w:spacing w:before="0" w:after="0" w:line="36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G10 – Trial (10 point intra-operative Gall Bladder scoring – Validation study) </w:t>
      </w:r>
    </w:p>
    <w:p>
      <w:pPr>
        <w:widowControl w:val="false"/>
        <w:numPr>
          <w:ilvl w:val="0"/>
          <w:numId w:val="108"/>
        </w:numPr>
        <w:suppressAutoHyphens w:val="true"/>
        <w:spacing w:before="0" w:after="0" w:line="36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POSAW study “Prospective Observational Study on Acute Appendicitis Worldwide”</w:t>
      </w:r>
    </w:p>
    <w:p>
      <w:pPr>
        <w:widowControl w:val="false"/>
        <w:numPr>
          <w:ilvl w:val="0"/>
          <w:numId w:val="108"/>
        </w:numPr>
        <w:suppressAutoHyphens w:val="true"/>
        <w:spacing w:before="0" w:after="0" w:line="36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IROA – International Register on Open Abdomen </w:t>
      </w:r>
    </w:p>
    <w:p>
      <w:pPr>
        <w:widowControl w:val="false"/>
        <w:numPr>
          <w:ilvl w:val="0"/>
          <w:numId w:val="108"/>
        </w:numPr>
        <w:suppressAutoHyphens w:val="true"/>
        <w:spacing w:before="0" w:after="0" w:line="36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GlobalSurg 2: Determining the worldwide epidemiology of surgical site infections after abdominal surgery</w:t>
      </w:r>
    </w:p>
    <w:p>
      <w:pPr>
        <w:widowControl w:val="false"/>
        <w:numPr>
          <w:ilvl w:val="0"/>
          <w:numId w:val="108"/>
        </w:numPr>
        <w:suppressAutoHyphens w:val="true"/>
        <w:spacing w:before="0" w:after="0" w:line="36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Global Alliance for Infections in Surgery. Defining a model for antimicrobial stewardship. Results from an international cross-sectional survey»</w:t>
      </w:r>
    </w:p>
    <w:p>
      <w:pPr>
        <w:widowControl w:val="false"/>
        <w:numPr>
          <w:ilvl w:val="0"/>
          <w:numId w:val="108"/>
        </w:numPr>
        <w:suppressAutoHyphens w:val="true"/>
        <w:spacing w:before="0" w:after="0" w:line="36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Validation Study of CLASSIC</w:t>
      </w:r>
    </w:p>
    <w:p>
      <w:pPr>
        <w:widowControl w:val="false"/>
        <w:numPr>
          <w:ilvl w:val="0"/>
          <w:numId w:val="108"/>
        </w:numPr>
        <w:suppressAutoHyphens w:val="true"/>
        <w:spacing w:before="0" w:after="0" w:line="36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OBA study - “Operative management in Bariatric Acute abdomen”</w:t>
      </w:r>
    </w:p>
    <w:p>
      <w:pPr>
        <w:widowControl w:val="false"/>
        <w:numPr>
          <w:ilvl w:val="0"/>
          <w:numId w:val="108"/>
        </w:numPr>
        <w:suppressAutoHyphens w:val="true"/>
        <w:spacing w:before="0" w:after="0" w:line="36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Preserve the Encephalus in Surgery of Trauma – PESTO study</w:t>
      </w:r>
    </w:p>
    <w:p>
      <w:pPr>
        <w:widowControl w:val="false"/>
        <w:numPr>
          <w:ilvl w:val="0"/>
          <w:numId w:val="108"/>
        </w:numPr>
        <w:suppressAutoHyphens w:val="true"/>
        <w:spacing w:before="0" w:after="0" w:line="36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Peri-intervantional Outcome Study in the Elderly (POSE)</w:t>
      </w:r>
    </w:p>
    <w:p>
      <w:pPr>
        <w:widowControl w:val="false"/>
        <w:suppressAutoHyphens w:val="true"/>
        <w:spacing w:before="0" w:after="0" w:line="360"/>
        <w:ind w:right="0" w:left="720" w:firstLine="0"/>
        <w:jc w:val="both"/>
        <w:rPr>
          <w:rFonts w:ascii="Times New Roman" w:hAnsi="Times New Roman" w:cs="Times New Roman" w:eastAsia="Times New Roman"/>
          <w:color w:val="000000"/>
          <w:spacing w:val="0"/>
          <w:position w:val="0"/>
          <w:sz w:val="24"/>
          <w:shd w:fill="auto" w:val="clear"/>
        </w:rPr>
      </w:pPr>
    </w:p>
    <w:p>
      <w:pPr>
        <w:widowControl w:val="false"/>
        <w:suppressAutoHyphens w:val="true"/>
        <w:spacing w:before="0" w:after="0" w:line="360"/>
        <w:ind w:right="0" w:left="0" w:firstLine="0"/>
        <w:jc w:val="both"/>
        <w:rPr>
          <w:rFonts w:ascii="Times New Roman" w:hAnsi="Times New Roman" w:cs="Times New Roman" w:eastAsia="Times New Roman"/>
          <w:color w:val="000000"/>
          <w:spacing w:val="0"/>
          <w:position w:val="0"/>
          <w:sz w:val="24"/>
          <w:shd w:fill="auto" w:val="clear"/>
        </w:rPr>
      </w:pPr>
    </w:p>
    <w:p>
      <w:pPr>
        <w:widowControl w:val="false"/>
        <w:suppressAutoHyphens w:val="true"/>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Ερευνητικά πρωτοκόλλα υπό εκπόνηση:</w:t>
      </w:r>
    </w:p>
    <w:p>
      <w:pPr>
        <w:widowControl w:val="false"/>
        <w:numPr>
          <w:ilvl w:val="0"/>
          <w:numId w:val="112"/>
        </w:numPr>
        <w:suppressAutoHyphens w:val="true"/>
        <w:spacing w:before="0" w:after="0" w:line="36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PIPAS study “PhysIological Parameters for Prognosis in Abdominal Sepsis Study”</w:t>
      </w:r>
    </w:p>
    <w:p>
      <w:pPr>
        <w:widowControl w:val="false"/>
        <w:numPr>
          <w:ilvl w:val="0"/>
          <w:numId w:val="112"/>
        </w:numPr>
        <w:suppressAutoHyphens w:val="true"/>
        <w:spacing w:before="0" w:after="0" w:line="36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GOSAFE study “Geriatric Oncology Surgical Assessment and Functional rEcovery After Surgery”</w:t>
      </w:r>
    </w:p>
    <w:p>
      <w:pPr>
        <w:widowControl w:val="false"/>
        <w:numPr>
          <w:ilvl w:val="0"/>
          <w:numId w:val="112"/>
        </w:numPr>
        <w:suppressAutoHyphens w:val="true"/>
        <w:spacing w:before="0" w:after="0" w:line="36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International Registry on Cholangiocarcinoma Treatment (CHOLANGIO)</w:t>
      </w:r>
    </w:p>
    <w:p>
      <w:pPr>
        <w:widowControl w:val="false"/>
        <w:numPr>
          <w:ilvl w:val="0"/>
          <w:numId w:val="112"/>
        </w:numPr>
        <w:suppressAutoHyphens w:val="true"/>
        <w:spacing w:before="0" w:after="0" w:line="36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Laparoscopic Peritoneal Lavage vs Laparoscopic Sigmoidectomy in Perforated Acute Diverticulitis: a Multicenter Prospective Observational Study (STELLA Study)</w:t>
      </w:r>
    </w:p>
    <w:p>
      <w:pPr>
        <w:widowControl w:val="false"/>
        <w:numPr>
          <w:ilvl w:val="0"/>
          <w:numId w:val="112"/>
        </w:numPr>
        <w:suppressAutoHyphens w:val="true"/>
        <w:spacing w:before="0" w:after="0" w:line="36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INSPIR</w:t>
      </w:r>
      <w:r>
        <w:rPr>
          <w:rFonts w:ascii="Times New Roman" w:hAnsi="Times New Roman" w:cs="Times New Roman" w:eastAsia="Times New Roman"/>
          <w:color w:val="000000"/>
          <w:spacing w:val="0"/>
          <w:position w:val="0"/>
          <w:sz w:val="24"/>
          <w:shd w:fill="auto" w:val="clear"/>
        </w:rPr>
        <w:t xml:space="preserve">Ε study - International Nipple sparing Mastectomy Registry</w:t>
      </w:r>
    </w:p>
    <w:p>
      <w:pPr>
        <w:widowControl w:val="false"/>
        <w:numPr>
          <w:ilvl w:val="0"/>
          <w:numId w:val="112"/>
        </w:numPr>
        <w:suppressAutoHyphens w:val="true"/>
        <w:spacing w:before="0" w:after="0" w:line="36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Robotic, Laparoscopic and Open Gastrectomy Compared on Short and Long Term Outcomes (IMIGASTRICII)</w:t>
      </w:r>
    </w:p>
    <w:p>
      <w:pPr>
        <w:widowControl w:val="false"/>
        <w:numPr>
          <w:ilvl w:val="0"/>
          <w:numId w:val="112"/>
        </w:numPr>
        <w:suppressAutoHyphens w:val="true"/>
        <w:spacing w:before="0" w:after="0" w:line="36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Damage Control Surgery in the Treatment of Complicated Diverticulitis (DACSCOD)</w:t>
      </w:r>
    </w:p>
    <w:p>
      <w:pPr>
        <w:widowControl w:val="false"/>
        <w:numPr>
          <w:ilvl w:val="0"/>
          <w:numId w:val="112"/>
        </w:numPr>
        <w:suppressAutoHyphens w:val="true"/>
        <w:spacing w:before="0" w:after="0" w:line="36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PREGRAD study – “PCT REveals Good Recovery After Acute Diverticulitis”</w:t>
      </w:r>
    </w:p>
    <w:p>
      <w:pPr>
        <w:widowControl w:val="false"/>
        <w:numPr>
          <w:ilvl w:val="0"/>
          <w:numId w:val="112"/>
        </w:numPr>
        <w:suppressAutoHyphens w:val="true"/>
        <w:spacing w:before="0" w:after="0" w:line="36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PREDIPS study – “Procalcitonin Reveals Early Dehiscence in Pancreatic Surgery”</w:t>
      </w:r>
    </w:p>
    <w:p>
      <w:pPr>
        <w:widowControl w:val="false"/>
        <w:numPr>
          <w:ilvl w:val="0"/>
          <w:numId w:val="112"/>
        </w:numPr>
        <w:suppressAutoHyphens w:val="true"/>
        <w:spacing w:before="0" w:after="0" w:line="36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PREDIGS study – “Procalcitonin Reveals Early Dehiscence in Gastric Surgery”</w:t>
      </w:r>
    </w:p>
    <w:p>
      <w:pPr>
        <w:widowControl w:val="false"/>
        <w:numPr>
          <w:ilvl w:val="0"/>
          <w:numId w:val="112"/>
        </w:numPr>
        <w:suppressAutoHyphens w:val="true"/>
        <w:spacing w:before="0" w:after="0" w:line="36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Prevention of Incisional Hernia With an Onlay Mesh Visible on MRI (VISIBLE)</w:t>
      </w:r>
    </w:p>
    <w:p>
      <w:pPr>
        <w:widowControl w:val="false"/>
        <w:numPr>
          <w:ilvl w:val="0"/>
          <w:numId w:val="112"/>
        </w:numPr>
        <w:suppressAutoHyphens w:val="true"/>
        <w:spacing w:before="0" w:after="0" w:line="36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GlobalSurg 3:</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Quality and outcomes after global cancer surgery: a prospective, international cohort study</w:t>
        <w:tab/>
      </w:r>
    </w:p>
    <w:p>
      <w:pPr>
        <w:widowControl w:val="false"/>
        <w:numPr>
          <w:ilvl w:val="0"/>
          <w:numId w:val="112"/>
        </w:numPr>
        <w:suppressAutoHyphens w:val="true"/>
        <w:spacing w:before="0" w:after="0" w:line="36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EuroPOWER study – “Postoperative Outcomes within / without an Enhanced Recovery Alter Surgery protocol”</w:t>
      </w:r>
    </w:p>
    <w:p>
      <w:pPr>
        <w:widowControl w:val="false"/>
        <w:numPr>
          <w:ilvl w:val="0"/>
          <w:numId w:val="112"/>
        </w:numPr>
        <w:suppressAutoHyphens w:val="true"/>
        <w:spacing w:before="0" w:after="0" w:line="36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IRBP – International Register of Biological Prosthesis</w:t>
      </w:r>
    </w:p>
    <w:p>
      <w:pPr>
        <w:widowControl w:val="false"/>
        <w:numPr>
          <w:ilvl w:val="0"/>
          <w:numId w:val="112"/>
        </w:numPr>
        <w:suppressAutoHyphens w:val="true"/>
        <w:spacing w:before="0" w:after="0" w:line="36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WIRES - </w:t>
      </w:r>
      <w:r>
        <w:rPr>
          <w:rFonts w:ascii="Times New Roman" w:hAnsi="Times New Roman" w:cs="Times New Roman" w:eastAsia="Times New Roman"/>
          <w:color w:val="333333"/>
          <w:spacing w:val="0"/>
          <w:position w:val="0"/>
          <w:sz w:val="24"/>
          <w:shd w:fill="auto" w:val="clear"/>
        </w:rPr>
        <w:t xml:space="preserve">WSES International Register of Emergency Surgery</w:t>
      </w:r>
    </w:p>
    <w:p>
      <w:pPr>
        <w:widowControl w:val="false"/>
        <w:numPr>
          <w:ilvl w:val="0"/>
          <w:numId w:val="112"/>
        </w:numPr>
        <w:suppressAutoHyphens w:val="true"/>
        <w:spacing w:before="0" w:after="0" w:line="36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MUSTT Study - Magnetic Resonance Imaging or Ultrasound in Soft Tissue Tumors</w:t>
      </w:r>
    </w:p>
    <w:p>
      <w:pPr>
        <w:widowControl w:val="false"/>
        <w:numPr>
          <w:ilvl w:val="0"/>
          <w:numId w:val="112"/>
        </w:numPr>
        <w:suppressAutoHyphens w:val="true"/>
        <w:spacing w:before="0" w:after="0" w:line="36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Sepsis-Associated Purpura Fulminans International Registry - Europe (SAPFIRE)</w:t>
      </w:r>
    </w:p>
    <w:p>
      <w:pPr>
        <w:widowControl w:val="false"/>
        <w:numPr>
          <w:ilvl w:val="0"/>
          <w:numId w:val="112"/>
        </w:numPr>
        <w:suppressAutoHyphens w:val="true"/>
        <w:spacing w:before="0" w:after="0" w:line="36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International Hernia Mesh Registry (IHMR)</w:t>
      </w:r>
    </w:p>
    <w:p>
      <w:pPr>
        <w:widowControl w:val="false"/>
        <w:numPr>
          <w:ilvl w:val="0"/>
          <w:numId w:val="112"/>
        </w:numPr>
        <w:suppressAutoHyphens w:val="true"/>
        <w:spacing w:before="0" w:after="0" w:line="36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Closed versus Open Abdomen in the Surgical Treatment of Severe Secondary Peritonitis: A Randomized Controlled Clinical Trial – COOL TRIAL</w:t>
      </w:r>
    </w:p>
    <w:p>
      <w:pPr>
        <w:widowControl w:val="false"/>
        <w:numPr>
          <w:ilvl w:val="0"/>
          <w:numId w:val="112"/>
        </w:numPr>
        <w:suppressAutoHyphens w:val="true"/>
        <w:spacing w:before="0" w:after="0" w:line="360"/>
        <w:ind w:right="0" w:left="720" w:hanging="360"/>
        <w:jc w:val="both"/>
        <w:rPr>
          <w:rFonts w:ascii="Times New Roman" w:hAnsi="Times New Roman" w:cs="Times New Roman" w:eastAsia="Times New Roman"/>
          <w:color w:val="000000"/>
          <w:spacing w:val="0"/>
          <w:position w:val="0"/>
          <w:sz w:val="24"/>
          <w:shd w:fill="auto" w:val="clear"/>
        </w:rPr>
      </w:pPr>
      <w:r>
        <w:rPr>
          <w:rFonts w:ascii="Calibri" w:hAnsi="Calibri" w:cs="Calibri" w:eastAsia="Calibri"/>
          <w:b/>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Short-term outcomes after total pancreatectomy; a European prospective, snapshot study”</w:t>
      </w:r>
    </w:p>
    <w:p>
      <w:pPr>
        <w:widowControl w:val="false"/>
        <w:suppressAutoHyphens w:val="true"/>
        <w:spacing w:before="0" w:after="0" w:line="360"/>
        <w:ind w:right="0" w:left="720" w:firstLine="0"/>
        <w:jc w:val="both"/>
        <w:rPr>
          <w:rFonts w:ascii="Times New Roman" w:hAnsi="Times New Roman" w:cs="Times New Roman" w:eastAsia="Times New Roman"/>
          <w:color w:val="000000"/>
          <w:spacing w:val="0"/>
          <w:position w:val="0"/>
          <w:sz w:val="24"/>
          <w:shd w:fill="auto" w:val="clear"/>
        </w:rPr>
      </w:pPr>
    </w:p>
    <w:p>
      <w:pPr>
        <w:widowControl w:val="false"/>
        <w:suppressAutoHyphens w:val="true"/>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160" w:line="259"/>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num w:numId="3">
    <w:abstractNumId w:val="228"/>
  </w:num>
  <w:num w:numId="5">
    <w:abstractNumId w:val="222"/>
  </w:num>
  <w:num w:numId="7">
    <w:abstractNumId w:val="216"/>
  </w:num>
  <w:num w:numId="10">
    <w:abstractNumId w:val="210"/>
  </w:num>
  <w:num w:numId="13">
    <w:abstractNumId w:val="204"/>
  </w:num>
  <w:num w:numId="16">
    <w:abstractNumId w:val="198"/>
  </w:num>
  <w:num w:numId="19">
    <w:abstractNumId w:val="192"/>
  </w:num>
  <w:num w:numId="22">
    <w:abstractNumId w:val="186"/>
  </w:num>
  <w:num w:numId="25">
    <w:abstractNumId w:val="180"/>
  </w:num>
  <w:num w:numId="28">
    <w:abstractNumId w:val="174"/>
  </w:num>
  <w:num w:numId="31">
    <w:abstractNumId w:val="168"/>
  </w:num>
  <w:num w:numId="34">
    <w:abstractNumId w:val="162"/>
  </w:num>
  <w:num w:numId="37">
    <w:abstractNumId w:val="156"/>
  </w:num>
  <w:num w:numId="40">
    <w:abstractNumId w:val="150"/>
  </w:num>
  <w:num w:numId="43">
    <w:abstractNumId w:val="144"/>
  </w:num>
  <w:num w:numId="46">
    <w:abstractNumId w:val="138"/>
  </w:num>
  <w:num w:numId="49">
    <w:abstractNumId w:val="132"/>
  </w:num>
  <w:num w:numId="52">
    <w:abstractNumId w:val="126"/>
  </w:num>
  <w:num w:numId="55">
    <w:abstractNumId w:val="120"/>
  </w:num>
  <w:num w:numId="58">
    <w:abstractNumId w:val="114"/>
  </w:num>
  <w:num w:numId="61">
    <w:abstractNumId w:val="108"/>
  </w:num>
  <w:num w:numId="64">
    <w:abstractNumId w:val="102"/>
  </w:num>
  <w:num w:numId="67">
    <w:abstractNumId w:val="96"/>
  </w:num>
  <w:num w:numId="70">
    <w:abstractNumId w:val="90"/>
  </w:num>
  <w:num w:numId="73">
    <w:abstractNumId w:val="84"/>
  </w:num>
  <w:num w:numId="76">
    <w:abstractNumId w:val="78"/>
  </w:num>
  <w:num w:numId="79">
    <w:abstractNumId w:val="72"/>
  </w:num>
  <w:num w:numId="81">
    <w:abstractNumId w:val="66"/>
  </w:num>
  <w:num w:numId="83">
    <w:abstractNumId w:val="60"/>
  </w:num>
  <w:num w:numId="85">
    <w:abstractNumId w:val="54"/>
  </w:num>
  <w:num w:numId="87">
    <w:abstractNumId w:val="48"/>
  </w:num>
  <w:num w:numId="90">
    <w:abstractNumId w:val="42"/>
  </w:num>
  <w:num w:numId="93">
    <w:abstractNumId w:val="36"/>
  </w:num>
  <w:num w:numId="96">
    <w:abstractNumId w:val="30"/>
  </w:num>
  <w:num w:numId="99">
    <w:abstractNumId w:val="24"/>
  </w:num>
  <w:num w:numId="102">
    <w:abstractNumId w:val="18"/>
  </w:num>
  <w:num w:numId="104">
    <w:abstractNumId w:val="12"/>
  </w:num>
  <w:num w:numId="108">
    <w:abstractNumId w:val="6"/>
  </w:num>
  <w:num w:numId="11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